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23158-2025 i Timrå kommun</w:t>
      </w:r>
    </w:p>
    <w:p>
      <w:r>
        <w:t>Detta dokument behandlar höga naturvärden i avverkningsanmälan A 23158-2025 i Timrå kommun. Denna avverkningsanmälan inkom 2025-05-14 09:46:21 och omfattar 4,9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3 naturvårdsarter hittats: garnlav (NT), violettgrå tagellav (NT) och tjäder (§4). Av dessa är 2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519291"/>
            <wp:docPr id="1" name="Picture 1"/>
            <wp:cNvGraphicFramePr>
              <a:graphicFrameLocks noChangeAspect="1"/>
            </wp:cNvGraphicFramePr>
            <a:graphic>
              <a:graphicData uri="http://schemas.openxmlformats.org/drawingml/2006/picture">
                <pic:pic>
                  <pic:nvPicPr>
                    <pic:cNvPr id="0" name="A 23158-2025 karta.png"/>
                    <pic:cNvPicPr/>
                  </pic:nvPicPr>
                  <pic:blipFill>
                    <a:blip r:embed="rId16"/>
                    <a:stretch>
                      <a:fillRect/>
                    </a:stretch>
                  </pic:blipFill>
                  <pic:spPr>
                    <a:xfrm>
                      <a:off x="0" y="0"/>
                      <a:ext cx="5486400" cy="451929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6936118, E 619646 i SWEREF 99 TM.</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r>
        <w:rPr>
          <w:b/>
        </w:rPr>
        <w:t>Violettgrå tagellav (NT)</w:t>
      </w:r>
      <w:r>
        <w:t xml:space="preserve"> växer nästan uteslutande i gamla olikåldriga barrnaturskogar med lång skoglig kontinuitet och är en utmärkt signal på skog med höga naturvärden. Slutavverkning av tidigare aldrig slutavverkad skog (kontinuitetsskog) är det största hotet. Biotopen nyskapas i begränsad omfattning och barrskog äldre än 160 år, där den violettgrå tagellaven huvudsakligen påträffas har minskat med 50% de senaste 50 åren. Lågproduktiv skogsmark där laven förekommer bör undantas från skogsbruk och rika förekomster i äldre granskog bör skyddas. Arten är känslig för uttorkning och det är väsentligt att tillräckligt stora bestånd avsätts (SLU Artdatabanken, 2024; Nitare &amp; Skogsstyrelsen, 2019).</w:t>
      </w:r>
    </w:p>
    <w:p>
      <w:pPr>
        <w:pStyle w:val="Heading1"/>
      </w:pPr>
      <w:r>
        <w:t>Fridlysta arter</w:t>
      </w:r>
    </w:p>
    <w:p>
      <w:r>
        <w:t>Följande fridlysta arter har sina livsmiljöer och växtplatser i den avverkningsanmälda skogen: tjäder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t>I BILAGA 1 finns mer detaljerad information om ekologi samt krav på livsmiljö hos fridlysta arter.</w:t>
      </w:r>
    </w:p>
    <w:p>
      <w:r>
        <w:br w:type="page"/>
      </w:r>
    </w:p>
    <w:p>
      <w:pPr>
        <w:pStyle w:val="Title"/>
      </w:pPr>
      <w:r>
        <w:t>BILAGA 1 – Fridlysta arter</w:t>
      </w:r>
    </w:p>
    <w:p>
      <w:pPr>
        <w:pStyle w:val="Heading1"/>
      </w:pPr>
      <w:r>
        <w:t>Tjäder – ekologi samt krav på livsmiljön</w:t>
      </w:r>
    </w:p>
    <w:p>
      <w:r>
        <w:t>Tjäder (§4)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(Skogsstyrelsen, 2019).</w:t>
      </w:r>
    </w:p>
    <w:p>
      <w:r>
        <w:t>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w:t>
      </w:r>
    </w:p>
    <w:p>
      <w:pPr>
        <w:pStyle w:val="Heading2"/>
      </w:pPr>
      <w:r>
        <w:t>Referenser – tjäder</w:t>
      </w:r>
    </w:p>
    <w:p>
      <w:r>
        <w:t xml:space="preserve">Skogsstyrelsen, 2019. </w:t>
      </w:r>
      <w:r>
        <w:rPr>
          <w:i/>
        </w:rPr>
        <w:t xml:space="preserve">Vägledning för hänsyn till fåglar – tjäder. </w:t>
      </w:r>
      <w:r>
        <w:t>https://www.skogsstyrelsen.se/globalassets/lag-och-tillsyn/artskydd/vagledningar-for-hansyn-till-faglar/tjader-vagledning-hansyn2.pdf</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2025-09-18</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