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7904-2024 i Timrå kommun</w:t>
      </w:r>
    </w:p>
    <w:p>
      <w:r>
        <w:t>Detta klagomål behandlar höga naturvärden i avverkningsanmälan A 7904-2024 i Timrå kommun som inkom 2024-02-27 och omfattar 7,3 ha.</w:t>
      </w:r>
    </w:p>
    <w:p>
      <w:pPr>
        <w:pStyle w:val="Caption"/>
      </w:pPr>
      <w:r>
        <w:drawing>
          <wp:inline xmlns:a="http://schemas.openxmlformats.org/drawingml/2006/main" xmlns:pic="http://schemas.openxmlformats.org/drawingml/2006/picture">
            <wp:extent cx="5486400" cy="4888372"/>
            <wp:docPr id="1" name="Picture 1"/>
            <wp:cNvGraphicFramePr>
              <a:graphicFrameLocks noChangeAspect="1"/>
            </wp:cNvGraphicFramePr>
            <a:graphic>
              <a:graphicData uri="http://schemas.openxmlformats.org/drawingml/2006/picture">
                <pic:pic>
                  <pic:nvPicPr>
                    <pic:cNvPr id="0" name="A 7904-2024 karta.png"/>
                    <pic:cNvPicPr/>
                  </pic:nvPicPr>
                  <pic:blipFill>
                    <a:blip r:embed="rId16"/>
                    <a:stretch>
                      <a:fillRect/>
                    </a:stretch>
                  </pic:blipFill>
                  <pic:spPr>
                    <a:xfrm>
                      <a:off x="0" y="0"/>
                      <a:ext cx="5486400" cy="4888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6945729, E 620851 i SWEREF 99 TM.</w:t>
      </w:r>
    </w:p>
    <w:p>
      <w:r>
        <w:t>I avverkningsanmälan finns fynd av 1 naturvårdsarter, varav 1 är rödlistad och 1 är fridlyst: bergviol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Bergviol (EN, §8)</w:t>
      </w:r>
      <w:r>
        <w:t xml:space="preserve"> är en starkt hotad och fridlyst art som minskat med 47% under åren 2004–2024. Den förekommer främst i Medelpad, samt på ett fåtal lokaler i Dalarna och Hälsingland. Den växer på solvarma platser i kustbygderna och utmed älvdalarna, främst på torra backar och i lövskogsdominerande solexponerade bergssluttningar. Arten är ljusberoende och i områden med bergviol bör en lövskogsinriktad skogsskötsel ske. Under de senaste 60 åren har minskningstakten uppgått till 50 (30–70) %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