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2895-2022 i Timrå kommun</w:t>
      </w:r>
    </w:p>
    <w:p>
      <w:r>
        <w:t>Detta klagomål behandlar höga naturvärden i samrådsanmälan S 2895-2022 i Timrå kommun som inkom 2022-05-27 och omfattar 70,5 ha.</w:t>
      </w:r>
    </w:p>
    <w:p>
      <w:pPr>
        <w:pStyle w:val="Caption"/>
      </w:pPr>
      <w:r>
        <w:drawing>
          <wp:inline xmlns:a="http://schemas.openxmlformats.org/drawingml/2006/main" xmlns:pic="http://schemas.openxmlformats.org/drawingml/2006/picture">
            <wp:extent cx="5486400" cy="4753799"/>
            <wp:docPr id="1" name="Picture 1"/>
            <wp:cNvGraphicFramePr>
              <a:graphicFrameLocks noChangeAspect="1"/>
            </wp:cNvGraphicFramePr>
            <a:graphic>
              <a:graphicData uri="http://schemas.openxmlformats.org/drawingml/2006/picture">
                <pic:pic>
                  <pic:nvPicPr>
                    <pic:cNvPr id="0" name="S 2895-2022 karta.png"/>
                    <pic:cNvPicPr/>
                  </pic:nvPicPr>
                  <pic:blipFill>
                    <a:blip r:embed="rId16"/>
                    <a:stretch>
                      <a:fillRect/>
                    </a:stretch>
                  </pic:blipFill>
                  <pic:spPr>
                    <a:xfrm>
                      <a:off x="0" y="0"/>
                      <a:ext cx="5486400" cy="4753799"/>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6938808, E 622902 i SWEREF 99 TM.</w:t>
      </w:r>
    </w:p>
    <w:p>
      <w:r>
        <w:t>I och inom 22 meter från samrådsanmälan finns fynd av 49 naturvårdsarter, varav 28 är rödlistade, 15 är fridlysta, 27 är typiska (T) och 13 är signalarter (S): ask (EN), skogsalm (EN), gräddticka (VU), gränsticka (VU, T), grönfink (VU, §4), aspskinn (NT), brokig spegellöpare (NT), grönsångare (NT, §4), kandelabersvamp (NT, T), koralltaggsvamp (NT, T), kricka (NT, §4), lake (NT), lax (NT), lunglav (NT, T), mindre hackspett (NT, T, §4), rosenticka (NT, T), rynkskinn (NT, T), rödprick (NT), rödvingetrast (NT, §4), skuggviol (NT, T), spinnfingersvamp (NT), sötgräs (NT, §7), tretåig hackspett (NT, T, §4), ullticka (NT, T), veckticka (NT, T), violettgrå tagellav (NT, T), vit vedfingersvamp (NT), öring (NT), barkticka (S, T), gulnål (S, T), jättesvampmal (S), skinnlav (S, T), skör kvastmossa (S, T), slanklav (S, T), strutbräken (S, T), stubbspretmossa (S, T), stuplav (S, T), svart trolldruva (S, T), tibast (S, T), underviol (S, T), vedticka (S, T), gråspett (T, §4), spillkråka (T, §4), tallbit (T, §4), kungsfågel (§4), svartvit flugsnappare (§4), utter (§4a), vanlig padda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Aspskinn (NT)</w:t>
      </w:r>
      <w:r>
        <w:t xml:space="preserve"> är knuten till blandskog med kontinuerlig tillgång till asp och tycks främst förekomma i relativt frodiga och skuggiga blandskogar med stor tillgång på lågor i olika nedbrytningsstadier. I områden där aspskinn påträffas bör miljöerna sparas långsiktigt, vilket också gynnar en rad andra organismer (SLU Artdatabanken, 2024).</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Rödprick (NT)</w:t>
      </w:r>
      <w:r>
        <w:t xml:space="preserve"> är en fläcklav som påträffats på gråal, ask och ek i ädellövskogar med lång trädkontinuitet och hög luftfuktighet. Avverkning av skogar med lång trädkontinuitet är ett hot. Samtliga förekomster måste skyddas. Arten bör eftersökas i Medelpad (SLU Artdatabanken, 2026).</w:t>
      </w:r>
    </w:p>
    <w:p>
      <w:r>
        <w:rPr>
          <w:b/>
        </w:rPr>
        <w:t>Skuggviol (NT)</w:t>
      </w:r>
      <w:r>
        <w:t xml:space="preserve"> förekommer från Värmland upp till Norrbotten och Torne lappmark. Den växer i örtrika hägg- eller gråalsdominerade lövlundar i fuktstråk nedanför sydbergsbranter, i raviner eller vid rikare partier längs åar och bäckar. Lokaler för skuggviol bör undantas från skogsbruk och vid avverkningar i närheten av skuggviolens biotoper är det viktigt att lämna stormfasta kantzoner. Dikningar som direkt eller indirekt påverkar dessa miljöer bör inte heller utföras. Skuggviol är typisk art för </w:t>
      </w:r>
      <w:r>
        <w:rPr>
          <w:i/>
        </w:rPr>
        <w:t>9750 Svämlövskog</w:t>
      </w:r>
      <w:r>
        <w:t xml:space="preserve"> (SLU Artdatabanken, 2024).</w:t>
      </w:r>
    </w:p>
    <w:p>
      <w:r>
        <w:rPr>
          <w:b/>
        </w:rPr>
        <w:t xml:space="preserve">Spinnfingersvamp (NT) </w:t>
      </w:r>
      <w:r>
        <w:t>är främst knuten till gamla skogsmiljöer med lång trädkontinuitet, granskog, men även i lövskog. I kalkrika marker växer den även på döda enbuskar. Den är överallt en mycket bra signalart och på växtplatserna förekommer normalt många andra sällsynta och rödlistade arter. Arten missgynnas troligen av skogsbruk och den ökande exponering som blir följden av gallring och kalavverkning (Nitare &amp; Skogsstyrelsen, 2019; SLU Artdatabanken, 2025).</w:t>
      </w:r>
    </w:p>
    <w:p>
      <w:r>
        <w:rPr>
          <w:b/>
        </w:rPr>
        <w:t>Sötgräs (NT, §7)</w:t>
      </w:r>
      <w:r>
        <w:t xml:space="preserve"> är strikt skyddad enligt EU:s art- och habitatdirektiv och fridlyst enligt §7 Artskyddsförordningen (bilaga 1) vilket innebär att hela dess livsmiljö ska bevaras. Arten, som omfattas av ett åtgärdsprogram för hotade arter (ÅGP), trivs bäst i lövskogsdominerade artrika raviner, stränder samt i rasbranter och på block i gammal granskog. Växten tycks också kräva en relativt hög luftfuktighet och skydd mot direkt solexponering. Ovarsamt skogsbruk, vägbyggnad och annan exploatering är de största hoten mot arten. Samtliga lokaler måste skyddas mot skadliga ingrepp och undantas från ekonomiskt skogsbruk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41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49 naturvårdsarter varav 28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