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55927-2023 i Timrå kommun</w:t>
      </w:r>
    </w:p>
    <w:p>
      <w:r>
        <w:t>Detta dokument behandlar höga naturvärden i avverkningsanmälan A 55927-2023 i Timrå kommun. Denna avverkningsanmälan inkom 2023-11-09 00:00:00 och omfattar 18,6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långskägg (VU, §8), garnlav (NT), lunglav (NT), stiftgelélav (NT), tretåig hackspett (NT, §4), veckticka (NT), korallblylav (S), skinnlav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139"/>
            <wp:docPr id="1" name="Picture 1"/>
            <wp:cNvGraphicFramePr>
              <a:graphicFrameLocks noChangeAspect="1"/>
            </wp:cNvGraphicFramePr>
            <a:graphic>
              <a:graphicData uri="http://schemas.openxmlformats.org/drawingml/2006/picture">
                <pic:pic>
                  <pic:nvPicPr>
                    <pic:cNvPr id="0" name="A 55927-2023 karta.png"/>
                    <pic:cNvPicPr/>
                  </pic:nvPicPr>
                  <pic:blipFill>
                    <a:blip r:embed="rId16"/>
                    <a:stretch>
                      <a:fillRect/>
                    </a:stretch>
                  </pic:blipFill>
                  <pic:spPr>
                    <a:xfrm>
                      <a:off x="0" y="0"/>
                      <a:ext cx="5486400" cy="35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6949558, E 609059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knärot (VU, §8), långskägg (VU, §8),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4198414"/>
            <wp:docPr id="2" name="Picture 2"/>
            <wp:cNvGraphicFramePr>
              <a:graphicFrameLocks noChangeAspect="1"/>
            </wp:cNvGraphicFramePr>
            <a:graphic>
              <a:graphicData uri="http://schemas.openxmlformats.org/drawingml/2006/picture">
                <pic:pic>
                  <pic:nvPicPr>
                    <pic:cNvPr id="0" name="A 55927-2023 karta knärot.png"/>
                    <pic:cNvPicPr/>
                  </pic:nvPicPr>
                  <pic:blipFill>
                    <a:blip r:embed="rId17"/>
                    <a:stretch>
                      <a:fillRect/>
                    </a:stretch>
                  </pic:blipFill>
                  <pic:spPr>
                    <a:xfrm>
                      <a:off x="0" y="0"/>
                      <a:ext cx="5486400" cy="41984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6949558, E 609059 i SWEREF 99 TM.</w:t>
      </w:r>
    </w:p>
    <w:p>
      <w:pPr>
        <w:pStyle w:val="Caption"/>
      </w:pPr>
    </w:p>
    <w:p>
      <w:r>
        <w:rPr>
          <w:b/>
        </w:rPr>
        <w:t>Långskägg (VU, §8)</w:t>
      </w:r>
      <w:r>
        <w:t xml:space="preserve"> är en exklusiv art som signalerar naturskogar med mycket höga naturvärden. Den är placerad högst upp i Skogsstyrelsens värdepyramid för bedömning av skog med höga naturvärden och fridlyst enligt 8 § artskyddsförordningen. Arten förekommer främst i urskogsartade granskogar i nord- eller östvända bergssluttningar men även i gransumpskog, myrkanter och längs bäckdråg och indikerar lång skoglig kontinuitet där lokalerna ofta utgörs av brandrefugier, det vill säga områden som inte brunnit under åtminstone de senaste 200–300 åren. Långskägg är mycket känslig för uttorkning och vindpåverkan och överlever inte en slutavverkning (inklusive hänsyn). Samtliga kvarvarande lokaler bör skyddas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