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18510-2021 i Timrå kommun</w:t>
      </w:r>
    </w:p>
    <w:p>
      <w:r>
        <w:t>Detta dokument behandlar höga naturvärden i avverkningsanmälan A 18510-2021 i Timrå kommun. Denna avverkningsanmälan inkom 2021-04-20 00:00:00 och omfattar 28,0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sötgräs (NT, §7) och strutbräken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89441"/>
            <wp:docPr id="1" name="Picture 1"/>
            <wp:cNvGraphicFramePr>
              <a:graphicFrameLocks noChangeAspect="1"/>
            </wp:cNvGraphicFramePr>
            <a:graphic>
              <a:graphicData uri="http://schemas.openxmlformats.org/drawingml/2006/picture">
                <pic:pic>
                  <pic:nvPicPr>
                    <pic:cNvPr id="0" name="A 18510-2021 karta.png"/>
                    <pic:cNvPicPr/>
                  </pic:nvPicPr>
                  <pic:blipFill>
                    <a:blip r:embed="rId16"/>
                    <a:stretch>
                      <a:fillRect/>
                    </a:stretch>
                  </pic:blipFill>
                  <pic:spPr>
                    <a:xfrm>
                      <a:off x="0" y="0"/>
                      <a:ext cx="5486400" cy="7589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6949501, E 622408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Fridlysta arter</w:t>
      </w:r>
    </w:p>
    <w:p>
      <w:r>
        <w:t>Följande fridlysta arter har sina livsmiljöer och växtplatser i den avverkningsanmälda skogen: sötgräs (NT, §7).</w:t>
      </w:r>
    </w:p>
    <w:p>
      <w:r>
        <w:rPr>
          <w:b/>
        </w:rPr>
        <w:t>Sötgräs (NT, §7)</w:t>
      </w:r>
      <w:r>
        <w:t xml:space="preserve"> är strikt skyddad enligt EU:s art- och habitatdirektiv och fridlyst enligt §7 Artskyddsförordningen (bilaga 1) vilket innebär att hela dess livsmiljö ska bevaras. Arten, som omfattas av ett åtgärdsprogram för hotade arter (ÅGP), trivs bäst i lövskogsdominerade artrika raviner, stränder samt i rasbranter och på block i gammal granskog. Växten tycks också kräva en relativt hög luftfuktighet och skydd mot direkt solexponering. Ovarsamt skogsbruk, vägbyggnad och annan exploatering är de största hoten mot arten. Samtliga lokaler måste skyddas mot skadliga ingrepp och undantas från ekonomiskt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