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23669-2020 i Timrå kommun</w:t>
      </w:r>
    </w:p>
    <w:p>
      <w:r>
        <w:t>Detta dokument behandlar höga naturvärden i avverkningsanmälan A 23669-2020 i Timrå kommun. Denna avverkningsanmälan inkom 2020-05-18 och omfattar 11,4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30 naturvårdsarter hittats: aspfjädermossa (VU), blackticka (VU), rotfingersvamp (VU), rynkskinn (VU), garnlav (NT), granticka (NT), gränsticka (NT), kandelabersvamp (NT), lunglav (NT), motaggsvamp (NT), rosenticka (NT), svart taggsvamp (NT), tretåig hackspett (NT, §4), ullticka (NT), veckticka (NT), violettgrå tagellav (NT), bårdlav (S), granriska (S), gulfotshätta (S), korallblylav (S), luddlav (S), mörk husmossa (S), skarp dropptaggsvamp (S), skinnlav (S), stor aspticka (S), stuplav (S), thomsons trägnagare (S), vedticka (S), vågbandad barkbock (S) och ögonpyrola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4222"/>
            <wp:docPr id="1" name="Picture 1"/>
            <wp:cNvGraphicFramePr>
              <a:graphicFrameLocks noChangeAspect="1"/>
            </wp:cNvGraphicFramePr>
            <a:graphic>
              <a:graphicData uri="http://schemas.openxmlformats.org/drawingml/2006/picture">
                <pic:pic>
                  <pic:nvPicPr>
                    <pic:cNvPr id="0" name="A 23669-2020 karta.png"/>
                    <pic:cNvPicPr/>
                  </pic:nvPicPr>
                  <pic:blipFill>
                    <a:blip r:embed="rId16"/>
                    <a:stretch>
                      <a:fillRect/>
                    </a:stretch>
                  </pic:blipFill>
                  <pic:spPr>
                    <a:xfrm>
                      <a:off x="0" y="0"/>
                      <a:ext cx="5486400" cy="4104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6951865, E 623338 i SWEREF 99 TM.</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(SLU Artdatabanken, 2024; Nitare &amp; Skogsstyrelsen, 2019).</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Gulfotshätta </w:t>
      </w:r>
      <w:r>
        <w:t>signalerar lövskogar med höga naturvärden. På lokalerna finns oftast en rik lundflora samt många andra ovanliga och rödlistade arter. Växtmiljön utgörs normalt av näringsrika lövskogar i sena, naturskogslika successionsstadier där det finns rikligt med död ved. Växtplatserna har nästan alltid en långvarig ekologisk kontinuitet som lövträdsbevuxen mark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