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40794-2023 i Timrå kommun</w:t>
      </w:r>
    </w:p>
    <w:p>
      <w:r>
        <w:t>Detta dokument behandlar höga naturvärden i avverkningsanmälan A 40794-2023 i Timrå kommun. Denna avverkningsanmälan inkom 2023-09-01 och omfattar 10,6 ha.</w:t>
      </w:r>
    </w:p>
    <w:p>
      <w:r>
        <w:t>Nedan presenteras fynd av naturvårdsarter och fridlysta arter som gjorts i det avverkningsanmälda området, samt relevanta utdrag ur standarderna för FSC, Chain of Custody, Controlled Wood och PEFC. I BILAGA 1 finns artfakta om fridlysta och rödlistade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7 naturvårdsarter hittats: garnlav (NT), lunglav (NT), tretåig hackspett (NT, §4), violettgrå tagellav (NT), skinnlav (S), stuplav (S) och vedticka (S). Av dessa är 4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81098"/>
            <wp:docPr id="1" name="Picture 1"/>
            <wp:cNvGraphicFramePr>
              <a:graphicFrameLocks noChangeAspect="1"/>
            </wp:cNvGraphicFramePr>
            <a:graphic>
              <a:graphicData uri="http://schemas.openxmlformats.org/drawingml/2006/picture">
                <pic:pic>
                  <pic:nvPicPr>
                    <pic:cNvPr id="0" name="A 40794-2023 karta.png"/>
                    <pic:cNvPicPr/>
                  </pic:nvPicPr>
                  <pic:blipFill>
                    <a:blip r:embed="rId16"/>
                    <a:stretch>
                      <a:fillRect/>
                    </a:stretch>
                  </pic:blipFill>
                  <pic:spPr>
                    <a:xfrm>
                      <a:off x="0" y="0"/>
                      <a:ext cx="5486400" cy="388109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6959329, E 610226 i SWEREF 99 TM.</w:t>
      </w:r>
    </w:p>
    <w:p>
      <w:r>
        <w:rPr>
          <w:b/>
        </w:rPr>
        <w:t>Lunglav (NT)</w:t>
      </w:r>
      <w:r>
        <w:t xml:space="preserve">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(SLU Artdatabanken, 2024; Nitare &amp; Skogsstyrelsen, 2019).</w:t>
      </w:r>
    </w:p>
    <w:p>
      <w:pPr>
        <w:pStyle w:val="Heading1"/>
      </w:pPr>
      <w:r>
        <w:t>Fridlysta arter</w:t>
      </w:r>
    </w:p>
    <w:p>
      <w:r>
        <w:t>Följande fridlysta arter har sina livsmiljöer och växtplatser i den avverkningsanmälda skogen: tretåig hackspett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(Skogsstyrelsen, 2016).</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7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Lunglav – ekologi samt krav på livsmiljön</w:t>
      </w:r>
    </w:p>
    <w:p>
      <w:r>
        <w:t>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(SLU Artdatabanken, 2024; Nitare &amp; Skogsstyrelsen, 2019).</w:t>
      </w:r>
    </w:p>
    <w:p>
      <w:r>
        <w:t xml:space="preserve">På lunglav kan man sällsynt finna små svarta skivlika bildningar som liknar apothecier men som är en parasitisk svamp, Lunglavsknapp </w:t>
      </w:r>
      <w:r>
        <w:rPr>
          <w:i/>
        </w:rPr>
        <w:t>Plectocarpon lichenum</w:t>
      </w:r>
      <w:r>
        <w:t xml:space="preserve"> (VU). Det finns ytterligare två rödlistade parasiter vilka bara förekommer på lunglav, Skrovelmössing </w:t>
      </w:r>
      <w:r>
        <w:rPr>
          <w:i/>
        </w:rPr>
        <w:t>Dactylospora lobariella</w:t>
      </w:r>
      <w:r>
        <w:t xml:space="preserve"> (rödlistad som Kunskapsbrist DD) och Lunglavshårprick </w:t>
      </w:r>
      <w:r>
        <w:rPr>
          <w:i/>
        </w:rPr>
        <w:t>Niesslia lobariae</w:t>
      </w:r>
      <w:r>
        <w:t xml:space="preserve"> (rödlistad som Kunskapsbrist DD). Skrovelmössing (DD) har små svarta apothecier och bruna, 1-septerade sporer och Lunglavshårprick (DD) har brunhåriga perithecier och färglösa, 1-septerade sporer (SLU Artdatabanken, 2024; Nitare &amp; Skogsstyrelsen, 2019).</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2024.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 xml:space="preserve">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w:t>
      </w:r>
    </w:p>
    <w:p>
      <w:r>
        <w:t>Förutom fridlysning enligt §4 Artskyddsförordningen är tretåig hackspett även förtecknad i EU:s fågeldirektiv bilaga 1. Den ingår också i Natura 2000 och är förtecknad i Bernkonventionen bilaga II (strikt skyddade djurarter).</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 xml:space="preserve">Vägledning för hänsyn till fåglar – Tretåig hackspett. </w:t>
      </w:r>
      <w:r>
        <w:t>www.skogsstyrelsen.se</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