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16182-2023 i Härnösands kommun</w:t>
      </w:r>
    </w:p>
    <w:p>
      <w:r>
        <w:t>Detta klagomål behandlar höga naturvärden i avverkningsanmälan A 16182-2023 i Härnösands kommun som inkom 2023-04-11 och omfattar 16,4 ha.</w:t>
      </w:r>
    </w:p>
    <w:p>
      <w:pPr>
        <w:pStyle w:val="Caption"/>
      </w:pPr>
      <w:r>
        <w:drawing>
          <wp:inline xmlns:a="http://schemas.openxmlformats.org/drawingml/2006/main" xmlns:pic="http://schemas.openxmlformats.org/drawingml/2006/picture">
            <wp:extent cx="5486400" cy="2305796"/>
            <wp:docPr id="1" name="Picture 1"/>
            <wp:cNvGraphicFramePr>
              <a:graphicFrameLocks noChangeAspect="1"/>
            </wp:cNvGraphicFramePr>
            <a:graphic>
              <a:graphicData uri="http://schemas.openxmlformats.org/drawingml/2006/picture">
                <pic:pic>
                  <pic:nvPicPr>
                    <pic:cNvPr id="0" name="A 16182-2023 karta.png"/>
                    <pic:cNvPicPr/>
                  </pic:nvPicPr>
                  <pic:blipFill>
                    <a:blip r:embed="rId16"/>
                    <a:stretch>
                      <a:fillRect/>
                    </a:stretch>
                  </pic:blipFill>
                  <pic:spPr>
                    <a:xfrm>
                      <a:off x="0" y="0"/>
                      <a:ext cx="5486400" cy="230579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6970284, E 630143 i SWEREF 99 TM.</w:t>
      </w:r>
    </w:p>
    <w:p>
      <w:r>
        <w:t>I och inom 24 meter från avverkningsanmälan finns fynd av 7 naturvårdsarter, varav 6 är rödlistade, 1 är fridlyst, 7 är typiska (T) och 1 är signalart (S): garnlav (VU, T), doftskinn (NT, T), gammelgransskål (NT, T), lunglav (NT, T), tretåig hackspett (NT, T, §4), violettgrå tagellav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