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5881-2024 i Härnösands kommun</w:t>
      </w:r>
    </w:p>
    <w:p>
      <w:r>
        <w:t>Denna tillsynsbegäran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6943852, E 647644 i SWEREF 99 TM.</w:t>
      </w:r>
    </w:p>
    <w:p>
      <w:r>
        <w:t>I och inom 25 meter från avverkningsanmälan finns fynd av 23 naturvårdsarter, varav 14 är rödlistade, 6 är fridlysta, 18 är typiska (T) och 5 är signalarter (S): raggtaggsvamp (EN), garnlav (VU, T), knärot (VU, T, §8), ringlav (VU), dropptaggsvamp (NT, T), gammelgransskål (NT, T), motaggsvamp (NT, T), rosenticka (NT, T), tallkötticka (NT), talltita (NT, §4), tretåig hackspett (NT, T, §4), ullticka (NT, T), vedskivlav (NT, T), violettgrå tagellav (NT, T), bronshjon (S, T), nästlav (S, T), rävticka (S, T), vedticka (S, T), vågbandad barkbock (S), linnea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50555"/>
            <wp:docPr id="2" name="Picture 2"/>
            <wp:cNvGraphicFramePr>
              <a:graphicFrameLocks noChangeAspect="1"/>
            </wp:cNvGraphicFramePr>
            <a:graphic>
              <a:graphicData uri="http://schemas.openxmlformats.org/drawingml/2006/picture">
                <pic:pic>
                  <pic:nvPicPr>
                    <pic:cNvPr id="0" name="A 5881-2024 karta knärot.png"/>
                    <pic:cNvPicPr/>
                  </pic:nvPicPr>
                  <pic:blipFill>
                    <a:blip r:embed="rId17"/>
                    <a:stretch>
                      <a:fillRect/>
                    </a:stretch>
                  </pic:blipFill>
                  <pic:spPr>
                    <a:xfrm>
                      <a:off x="0" y="0"/>
                      <a:ext cx="5486400" cy="695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6943852, E 647644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motaggsvamp (NT, T), rosenticka (NT, T), tretåig hackspett (NT, T, §4), ullticka (NT, T), vedskivlav (NT, T), violettgrå tagellav (NT, T), bronshjon (S, T), nästlav (S, T), rävticka (S, T), vedticka (S,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