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174-2026 i Härnösands kommun</w:t>
      </w:r>
    </w:p>
    <w:p>
      <w:r>
        <w:t>Denna tillsynsbegäran behandlar höga naturvärden i samrådsanmälan S 174-2026 i Härnösands kommun som inkom 2026-01-22 och omfattar 5,4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S 174-2026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6964256, E 630448 i SWEREF 99 TM.</w:t>
      </w:r>
    </w:p>
    <w:p>
      <w:r>
        <w:t>I och inom 19 meter från samrådsanmälan finns fynd av 18 naturvårdsarter, varav 10 är rödlistade, 5 är fridlysta, 13 är typiska (T) och 6 är signalarter (S): garnlav (VU, T), blågrå svartspik (NT), gammelgransskål (NT, T), lunglav (NT, T), sparvuggla (NT, §4), talltita (NT, §4), tretåig hackspett (NT, T, §4), ullticka (NT, T), violettgrå tagellav (NT, T), vågticka (NT), bårdlav (S, T), korallblylav (S, T), luddlav (S, T), mörk husmossa (S, T), stor aspticka (S, T), stuplav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gammelgransskål (NT, T), lunglav (NT, T), tretåig hackspett (NT, T, §4), ullticka (NT, T), violettgrå tagellav (NT, T), bårdlav (S, T), korallblylav (S, T), luddlav (S, T), mörk husmossa (S, T), stor aspticka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