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34141-2025 i Härnösands kommun</w:t>
      </w:r>
    </w:p>
    <w:p>
      <w:r>
        <w:t>Detta dokument behandlar höga naturvärden i avverkningsanmälan A 34141-2025 i Härnösands kommun. Denna avverkningsanmälan inkom 2025-07-07 13:15:34 och omfattar 5,4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vågticka (VU), blågrå svartspik (NT), gammelgransskål (NT), garnlav (NT), granticka (NT), lunglav (NT), spillkråka (NT, §4), talltita (NT, §4), tretåig hackspett (NT, §4), ullticka (NT), violettgrå tagellav (NT), bårdlav (S), korallblylav (S), luddlav (S), mörk husmossa (S), stor aspticka (S), stuplav (S), sparvuggla (§4) och revlummer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74614"/>
            <wp:docPr id="1" name="Picture 1"/>
            <wp:cNvGraphicFramePr>
              <a:graphicFrameLocks noChangeAspect="1"/>
            </wp:cNvGraphicFramePr>
            <a:graphic>
              <a:graphicData uri="http://schemas.openxmlformats.org/drawingml/2006/picture">
                <pic:pic>
                  <pic:nvPicPr>
                    <pic:cNvPr id="0" name="A 34141-2025 karta.png"/>
                    <pic:cNvPicPr/>
                  </pic:nvPicPr>
                  <pic:blipFill>
                    <a:blip r:embed="rId16"/>
                    <a:stretch>
                      <a:fillRect/>
                    </a:stretch>
                  </pic:blipFill>
                  <pic:spPr>
                    <a:xfrm>
                      <a:off x="0" y="0"/>
                      <a:ext cx="5486400" cy="3174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6964256, E 630448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 xml:space="preserve">Vågticka (VU) </w:t>
      </w:r>
      <w:r>
        <w:t>är knuten till kontinuitetsgranskogar med mycket död ved. Tidigare ansågs den som ytterst sällsynt men har nu blivit påträffad så många gånger att hotbilden eventuellt förändrats. Fortfarande är dock arten att anse som sårbar eftersom den fordrar rik tillgång till främst granlågor, ett substrat som minskat kraftigt i våra skogar. Vågtickans status bör ytterligare utredas. I väntan på detta måste fler av artens kända växtplatser säkerställas (SLU Artdatabanken, 2024).</w:t>
      </w:r>
    </w:p>
    <w:p>
      <w:pPr>
        <w:pStyle w:val="Heading1"/>
      </w:pPr>
      <w:r>
        <w:t>Fridlysta arter</w:t>
      </w:r>
    </w:p>
    <w:p>
      <w:r>
        <w:t>Följande fridlysta arter har sina livsmiljöer och växtplatser i den avverkningsanmälda skogen: spillkråka (NT, §4), talltita (NT, §4), tretåig hackspett (NT, §4), sparvuggla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