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42961-2024 i Härnösands kommun</w:t>
      </w:r>
    </w:p>
    <w:p>
      <w:r>
        <w:t>Detta klagomål behandlar höga naturvärden i avverkningsanmälan A 42961-2024 i Härnösands kommun som inkom 2024-10-02 och omfattar 11,6 ha.</w:t>
      </w:r>
    </w:p>
    <w:p>
      <w:pPr>
        <w:pStyle w:val="Caption"/>
      </w:pPr>
      <w:r>
        <w:drawing>
          <wp:inline xmlns:a="http://schemas.openxmlformats.org/drawingml/2006/main" xmlns:pic="http://schemas.openxmlformats.org/drawingml/2006/picture">
            <wp:extent cx="5078821" cy="5724000"/>
            <wp:docPr id="1" name="Picture 1"/>
            <wp:cNvGraphicFramePr>
              <a:graphicFrameLocks noChangeAspect="1"/>
            </wp:cNvGraphicFramePr>
            <a:graphic>
              <a:graphicData uri="http://schemas.openxmlformats.org/drawingml/2006/picture">
                <pic:pic>
                  <pic:nvPicPr>
                    <pic:cNvPr id="0" name="A 42961-2024 karta.png"/>
                    <pic:cNvPicPr/>
                  </pic:nvPicPr>
                  <pic:blipFill>
                    <a:blip r:embed="rId16"/>
                    <a:stretch>
                      <a:fillRect/>
                    </a:stretch>
                  </pic:blipFill>
                  <pic:spPr>
                    <a:xfrm>
                      <a:off x="0" y="0"/>
                      <a:ext cx="5078821"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6960827, E 623896 i SWEREF 99 TM.</w:t>
      </w:r>
    </w:p>
    <w:p>
      <w:r>
        <w:t>I och inom 24 meter från avverkningsanmälan finns fynd av 5 naturvårdsarter, varav 3 är rödlistade, 1 är fridlyst, 4 är typiska (T) och 2 är signalarter (S): garnlav (VU, T), sötgräs (NT, §7), ullticka (NT, T), strutbräken (S,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Sötgräs (NT, §7)</w:t>
      </w:r>
      <w:r>
        <w:t xml:space="preserve"> är strikt skyddad enligt EU:s art- och habitatdirektiv och fridlyst enligt §7 Artskyddsförordningen (bilaga 1) vilket innebär att hela dess livsmiljö ska bevaras. Arten, som omfattas av ett åtgärdsprogram för hotade arter (ÅGP), trivs bäst i lövskogsdominerade artrika raviner, stränder samt i rasbranter och på block i gammal granskog. Växten tycks också kräva en relativt hög luftfuktighet och skydd mot direkt solexponering. Ovarsamt skogsbruk, vägbyggnad och annan exploatering är de största hoten mot arten. Samtliga lokaler måste skyddas mot skadliga ingrepp och undantas från ekonomiskt skogsbruk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