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20 naturvårdsarter, varav 12 är rödlistade, 5 är fridlysta, 17 är typiska (T) och 4 är signalarter (S): garnlav (VU, T), knärot (VU, T, §8), ringlav (VU), dropptaggsvamp (NT, T), motaggsvamp (NT, T), orange taggsvamp (NT, T), rosenticka (NT, T), svartvit taggsvamp (NT), tallticka (NT, T), tretåig hackspett (NT, T, §4), ullticka (NT, T), violettgrå tagellav (NT, T), bronshjon (S, T), nästlav (S, T), vedticka (S, T), vågbandad barkbock (S), kötticka (T), mattlummer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tallticka (NT, T), tretåig hackspett (NT, T, §4), ullticka (NT, T), violettgrå tagellav (NT, T), bronshjon (S, T), nästlav (S, T), vedticka (S, T), kötticka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