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20771-2026 i Härnösands kommun</w:t>
      </w:r>
    </w:p>
    <w:p>
      <w:r>
        <w:t>Detta dokument behandlar höga naturvärden i avverkningsanmälan A 20771-2026 i Härnösands kommun. Denna avverkningsanmälan inkom 2026-04-29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tajgafladdermus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672"/>
            <wp:docPr id="1" name="Picture 1"/>
            <wp:cNvGraphicFramePr>
              <a:graphicFrameLocks noChangeAspect="1"/>
            </wp:cNvGraphicFramePr>
            <a:graphic>
              <a:graphicData uri="http://schemas.openxmlformats.org/drawingml/2006/picture">
                <pic:pic>
                  <pic:nvPicPr>
                    <pic:cNvPr id="0" name="A 20771-2026 karta.png"/>
                    <pic:cNvPicPr/>
                  </pic:nvPicPr>
                  <pic:blipFill>
                    <a:blip r:embed="rId16"/>
                    <a:stretch>
                      <a:fillRect/>
                    </a:stretch>
                  </pic:blipFill>
                  <pic:spPr>
                    <a:xfrm>
                      <a:off x="0" y="0"/>
                      <a:ext cx="5486400" cy="2779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6963726, E 624712 i SWEREF 99 TM.</w:t>
      </w:r>
    </w:p>
    <w:p>
      <w:pPr>
        <w:pStyle w:val="Heading1"/>
      </w:pPr>
      <w:r>
        <w:t>Fridlysta arter</w:t>
      </w:r>
    </w:p>
    <w:p>
      <w:r>
        <w:t>Följande fridlysta arter har sina livsmiljöer och växtplatser i den avverkningsanmälda skogen: nordfladdermus (NT, §4a) och tajgafladdermus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Tajgafladdermus är typisk art för </w:t>
      </w:r>
      <w:r>
        <w:rPr>
          <w:i/>
        </w:rPr>
        <w:t>8310 Grottor</w:t>
      </w:r>
      <w:r>
        <w:t xml:space="preserve"> och </w:t>
      </w:r>
      <w:r>
        <w:rPr>
          <w:i/>
        </w:rPr>
        <w:t>8330 Havsgrottor</w:t>
      </w:r>
      <w:r>
        <w:t xml:space="preserve">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