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18695-2025 i Härnösands kommun</w:t>
      </w:r>
    </w:p>
    <w:p>
      <w:r>
        <w:t>Detta dokument behandlar höga naturvärden i avverkningsanmälan A 18695-2025 i Härnösands kommun. Denna avverkningsanmälan inkom 2025-04-16 14:46:30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ullticka (NT), violettgrå tagellav (NT), barkticka (S), bårdlav (S), dvärgtufs (S) och späd brosklav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8695-2025 karta.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6964695, E 637665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Späd brosklav </w:t>
      </w:r>
      <w:r>
        <w:t>förekommer främst i boreala granskogar med lång trädkontinuitet men kan också förekomma på lövträd vid sänkta sjöar, vid vägkanter med kalkdamm i Jämtland samt på sälg och asp i sydbranter. Arten har minskat genom avverkningar av boreal kontinuitetsskog. Späd brosklav är en bra signalart för skogar med höga naturvärden. Särskilt användbar är den i älvnära granskogar där arten indikerar konstant hög luftfuktighet och låg grad av mänsklig påverkan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