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8412-2024 i Härnösands kommun</w:t>
      </w:r>
    </w:p>
    <w:p>
      <w:r>
        <w:t>Detta dokument behandlar höga naturvärden i avverkningsanmälan A 8412-2024 i Härnösands kommun. Denna avverkningsanmälan inkom 2024-03-01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aspgelélav (VU), knärot (VU, §8), liten aspgelélav (VU), Hapalopilus aurantiacus (NT) och lunglav (NT).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33577"/>
            <wp:docPr id="1" name="Picture 1"/>
            <wp:cNvGraphicFramePr>
              <a:graphicFrameLocks noChangeAspect="1"/>
            </wp:cNvGraphicFramePr>
            <a:graphic>
              <a:graphicData uri="http://schemas.openxmlformats.org/drawingml/2006/picture">
                <pic:pic>
                  <pic:nvPicPr>
                    <pic:cNvPr id="0" name="A 8412-2024 karta.png"/>
                    <pic:cNvPicPr/>
                  </pic:nvPicPr>
                  <pic:blipFill>
                    <a:blip r:embed="rId16"/>
                    <a:stretch>
                      <a:fillRect/>
                    </a:stretch>
                  </pic:blipFill>
                  <pic:spPr>
                    <a:xfrm>
                      <a:off x="0" y="0"/>
                      <a:ext cx="5486400" cy="51335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6955496, E 625357 i SWEREF 99 TM.</w:t>
      </w:r>
    </w:p>
    <w:p>
      <w:r>
        <w:rPr>
          <w:b/>
        </w:rPr>
        <w:t>Aspgelélav (VU)</w:t>
      </w:r>
      <w:r>
        <w:t xml:space="preserve"> växer praktiskt taget enbart på asp i skog med hög luftfuktighet. Aspgelélav missgynnas vid slutavverkning. I norra Sverige hotas arten genom slutavverkning av äldre barrskog med åldriga aspar, ofta på skogsbergens sluttningar. Arten försvinner på aspar som lämnas kvar på hyggen (SLU Artdatabanken, 2024).</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r>
        <w:rPr>
          <w:b/>
        </w:rPr>
        <w:t>Liten aspgelélav (VU)</w:t>
      </w:r>
      <w:r>
        <w:t>, rödlistad som sårbar, växer på asp i halvöppna boreala blandskogar med hög och jämn luftfuktighet. Den omfattas av åtgärdsprogram (ÅGP) för hotade arter på asp i Norrland och är placerad i toppen av Skogsstyrelsens värdepyramid för bedömning av skog med höga naturvärden. Arten har ett mycket högt skyddsvärde då en mycket stor andel (mer än 90 %) av samtliga kända lokaler i världen finns i Sverige. Samtliga lokaler måste skyddas och inslaget av asp i skogsmark måste öka på lång sikt (Naturvårdsverket, 2010;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0.84 ha med buffertzonerna och får av detta skäl inte avverkas.</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8412-2024 karta knärot.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6955496, E 625357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