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25 meter från avverkningsanmälan finns fynd av 20 naturvårdsarter, varav 12 är rödlistade, 5 är fridlysta, 17 är typiska (T) och 4 är signalarter (S): garnlav (VU, T), knärot (VU, T, §8), ringlav (VU), dropptaggsvamp (NT, T), motaggsvamp (NT, T), orange taggsvamp (NT, T), rosenticka (NT, T), svartvit taggsvamp (NT), tallticka (NT, T), tretåig hackspett (NT, T, §4), ullticka (NT, T), violettgrå tagellav (NT, T), bronshjon (S, T), nästlav (S, T), vedticka (S, T), vågbandad barkbock (S), kötticka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tallticka (NT, T), tretåig hackspett (NT, T, §4), ullticka (NT, T), violettgrå tagellav (NT, T), bronshjon (S, T), nästlav (S, T), vedticka (S, T), kötticka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