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44406-2023 i Härnösands kommun</w:t>
      </w:r>
    </w:p>
    <w:p>
      <w:r>
        <w:t>Detta dokument behandlar höga naturvärden i avverkningsanmälan A 44406-2023 i Härnösands kommun. Denna avverkningsanmälan inkom 2023-09-19 och omfattar 39,0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luddlav (S), stor aspticka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2480"/>
            <wp:docPr id="1" name="Picture 1"/>
            <wp:cNvGraphicFramePr>
              <a:graphicFrameLocks noChangeAspect="1"/>
            </wp:cNvGraphicFramePr>
            <a:graphic>
              <a:graphicData uri="http://schemas.openxmlformats.org/drawingml/2006/picture">
                <pic:pic>
                  <pic:nvPicPr>
                    <pic:cNvPr id="0" name="A 44406-2023 karta.png"/>
                    <pic:cNvPicPr/>
                  </pic:nvPicPr>
                  <pic:blipFill>
                    <a:blip r:embed="rId16"/>
                    <a:stretch>
                      <a:fillRect/>
                    </a:stretch>
                  </pic:blipFill>
                  <pic:spPr>
                    <a:xfrm>
                      <a:off x="0" y="0"/>
                      <a:ext cx="5486400" cy="66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6968950, E 626843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