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174-2026 i Härnösands kommun</w:t>
      </w:r>
    </w:p>
    <w:p>
      <w:r>
        <w:t>Detta klagomål behandlar höga naturvärden i samrådsanmälan S 174-2026 i Härnösands kommun som inkom 2026-01-22 och omfattar 5,4 ha.</w:t>
      </w:r>
    </w:p>
    <w:p>
      <w:pPr>
        <w:pStyle w:val="Caption"/>
      </w:pPr>
      <w:r>
        <w:drawing>
          <wp:inline xmlns:a="http://schemas.openxmlformats.org/drawingml/2006/main" xmlns:pic="http://schemas.openxmlformats.org/drawingml/2006/picture">
            <wp:extent cx="5486400" cy="4321247"/>
            <wp:docPr id="1" name="Picture 1"/>
            <wp:cNvGraphicFramePr>
              <a:graphicFrameLocks noChangeAspect="1"/>
            </wp:cNvGraphicFramePr>
            <a:graphic>
              <a:graphicData uri="http://schemas.openxmlformats.org/drawingml/2006/picture">
                <pic:pic>
                  <pic:nvPicPr>
                    <pic:cNvPr id="0" name="S 174-2026 karta.png"/>
                    <pic:cNvPicPr/>
                  </pic:nvPicPr>
                  <pic:blipFill>
                    <a:blip r:embed="rId16"/>
                    <a:stretch>
                      <a:fillRect/>
                    </a:stretch>
                  </pic:blipFill>
                  <pic:spPr>
                    <a:xfrm>
                      <a:off x="0" y="0"/>
                      <a:ext cx="5486400" cy="4321247"/>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6964256, E 630448 i SWEREF 99 TM.</w:t>
      </w:r>
    </w:p>
    <w:p>
      <w:r>
        <w:t>I och inom 19 meter från samrådsanmälan finns fynd av 18 naturvårdsarter, varav 10 är rödlistade, 5 är fridlysta, 13 är typiska (T) och 6 är signalarter (S): garnlav (VU, T), blågrå svartspik (NT), gammelgransskål (NT, T), lunglav (NT, T), sparvuggla (NT, §4), talltita (NT, §4), tretåig hackspett (NT, T, §4), ullticka (NT, T), violettgrå tagellav (NT, T), vågticka (NT), bårdlav (S, T), korallblylav (S, T), luddlav (S, T), mörk husmossa (S, T), stor aspticka (S, T), stuplav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 xml:space="preserve">Vågticka (NT) </w:t>
      </w:r>
      <w:r>
        <w:t>förekommer främst i rikare kontinuitetsskogar med mycket död ved. Den växer på grova lågor och stubbar av gran och asp, men ibland även på andra trädslag.  Arten missgynnas av slutavverkning av äldre barrskog med lång skoglig kontinuitet, men även av skogliga åtgärder som t.ex. markberedning som förstör lågor. Minskningstakten för den svenska populationen bedöms vara nära gränsvärdet för sårbar (VU) (SLU Artdatabanken, 2026).</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18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