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21 naturvårdsarter, varav 13 är rödlistade, 5 är fridlysta, 17 är typiska (T) och 4 är signalarter (S): garnlav (VU, T), knärot (VU, T, §8), ringlav (VU), dropptaggsvamp (NT, T), kötticka (NT), motaggsvamp (NT, T), orange taggsvamp (NT, T), rosenticka (NT, T), svartvit taggsvamp (NT), tallticka (NT, T), tretåig hackspett (NT, T, §4), ullticka (NT, T), violettgrå tagellav (NT, T), bronshjon (S, T), nästlav (S, T), vedticka (S, T), vågbandad barkbock (S), kötticka (aggregat)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tallticka (NT, T), tretåig hackspett (NT, T, §4), ullticka (NT, T), violettgrå tagellav (NT, T), bronshjon (S, T), nästlav (S, T), vedticka (S, T), kötticka (aggregat)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