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18 naturvårdsarter, varav 12 är rödlistade, 5 är fridlysta, 15 är typiska (T) och 3 är signalarter (S): garnlav (VU, T), knärot (VU, T, §8), ringlav (VU), dropptaggsvamp (NT, T), gammelgransskål (NT, T), motaggsvamp (NT, T), rosenticka (NT, T), tallkötticka (NT), talltita (NT, §4), tretåig hackspett (NT, T, §4), ullticka (NT, T), violettgrå tagellav (NT, T), nästlav (S, T), rävticka (S, T), vedticka (S, T), linnea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rosenticka (NT, T), tretåig hackspett (NT, T, §4), ullticka (NT, T), violettgrå tagellav (NT, T), nästlav (S, T), rävticka (S, T), vedticka (S,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