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39378-2026 i Härnösands kommun</w:t>
      </w:r>
    </w:p>
    <w:p>
      <w:r>
        <w:t>Denna tillsynsbegäran behandlar höga naturvärden i avverkningsanmälan A 39378-2026 i Härnösands kommun som inkom 2026-09-23 och omfattar 2,8 ha.</w:t>
      </w:r>
    </w:p>
    <w:p>
      <w:pPr>
        <w:pStyle w:val="Caption"/>
      </w:pPr>
      <w:r>
        <w:drawing>
          <wp:inline xmlns:a="http://schemas.openxmlformats.org/drawingml/2006/main" xmlns:pic="http://schemas.openxmlformats.org/drawingml/2006/picture">
            <wp:extent cx="5486400" cy="5352539"/>
            <wp:docPr id="1" name="Picture 1"/>
            <wp:cNvGraphicFramePr>
              <a:graphicFrameLocks noChangeAspect="1"/>
            </wp:cNvGraphicFramePr>
            <a:graphic>
              <a:graphicData uri="http://schemas.openxmlformats.org/drawingml/2006/picture">
                <pic:pic>
                  <pic:nvPicPr>
                    <pic:cNvPr id="0" name="A 39378-2026 karta.png"/>
                    <pic:cNvPicPr/>
                  </pic:nvPicPr>
                  <pic:blipFill>
                    <a:blip r:embed="rId16"/>
                    <a:stretch>
                      <a:fillRect/>
                    </a:stretch>
                  </pic:blipFill>
                  <pic:spPr>
                    <a:xfrm>
                      <a:off x="0" y="0"/>
                      <a:ext cx="5486400" cy="535253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6945292, E 639730 i SWEREF 99 TM.</w:t>
      </w:r>
    </w:p>
    <w:p>
      <w:r>
        <w:t>I och inom 25 meter från avverkningsanmälan finns fynd av 18 naturvårdsarter, varav 12 är rödlistade, 2 är fridlysta, 13 är typiska (T) och 5 är signalarter (S): trådbrosklav (EN), garnlav (VU, T), gränsticka (VU, T), gul taggsvamp (VU, T), dofttaggsvamp (NT, T), fjällig taggsvamp s.str. (NT), gammelgransskål (NT, T), grantaggsvamp (NT), lunglav (NT, T), svartvit taggsvamp (NT), ullticka (NT, T), violettgrå tagellav (NT, T), korallrot (S, T, §8), nästlav (S, T), trådticka (S, T), vedticka (S, T), ögonpyrola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Trådbrosklav (EN)</w:t>
      </w:r>
      <w:r>
        <w:t xml:space="preserve"> är rödlistad som starkt hotad och förekommer huvudsakligen i brandrefugier med hög luftfuktighet som bäckraviner, bäckdråg och gransumpskogar. Eftersom arten huvudsakligen är knuten till produktiva gamla granbestånd är avverkningshotet stort och minskningstakten pågår och förväntas uppgå till 50 (40–70) % inom 50 år. Den är placerad högst upp i Skogsstyrelsens värdepyramid för bedömning av skog med höga naturvärden och skog där trådbrosklav förekommer bör helt undantas från skogsbruksåtgärder. Det är väsentligt att tillräckligt stora bestånd och breda kantzoner avsätts eftersom arten är känslig för uttorkning. Samtliga rika förekomster bör skyddas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gul taggsvamp (VU, T), dofttaggsvamp (NT, T), gammelgransskål (NT, T), lunglav (NT, T), ullticka (NT, T), violettgrå tagellav (NT, T), korallrot (S, T, §8), nästlav (S, T), trådticka (S, T), vedticka (S, T)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