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47711-2024 i Härnösands kommun</w:t>
      </w:r>
    </w:p>
    <w:p>
      <w:r>
        <w:t>Detta klagomål behandlar höga naturvärden i avverkningsanmälan A 47711-2024 i Härnösands kommun som inkom 2024-10-23 och omfattar 39,5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47711-2024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6943753, E 647336 i SWEREF 99 TM.</w:t>
      </w:r>
    </w:p>
    <w:p>
      <w:r>
        <w:t>I och inom 25 meter från avverkningsanmälan finns fynd av 20 naturvårdsarter, varav 12 är rödlistade, 5 är fridlysta, 17 är typiska (T) och 4 är signalarter (S): garnlav (VU, T), knärot (VU, T, §8), ringlav (VU), dropptaggsvamp (NT, T), motaggsvamp (NT, T), orange taggsvamp (NT, T), rosenticka (NT, T), svartvit taggsvamp (NT), tallticka (NT, T), tretåig hackspett (NT, T, §4), ullticka (NT, T), violettgrå tagellav (NT, T), bronshjon (S, T), nästlav (S, T), vedticka (S, T), vågbandad barkbock (S), kötticka (T), mattlummer (T, §9),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803498"/>
            <wp:docPr id="2" name="Picture 2"/>
            <wp:cNvGraphicFramePr>
              <a:graphicFrameLocks noChangeAspect="1"/>
            </wp:cNvGraphicFramePr>
            <a:graphic>
              <a:graphicData uri="http://schemas.openxmlformats.org/drawingml/2006/picture">
                <pic:pic>
                  <pic:nvPicPr>
                    <pic:cNvPr id="0" name="A 47711-2024 karta knärot.png"/>
                    <pic:cNvPicPr/>
                  </pic:nvPicPr>
                  <pic:blipFill>
                    <a:blip r:embed="rId17"/>
                    <a:stretch>
                      <a:fillRect/>
                    </a:stretch>
                  </pic:blipFill>
                  <pic:spPr>
                    <a:xfrm>
                      <a:off x="0" y="0"/>
                      <a:ext cx="5486400" cy="5803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6943753, E 647336 i SWEREF 99 TM.</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