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34711-2023 i Härnösands kommun</w:t>
      </w:r>
    </w:p>
    <w:p>
      <w:r>
        <w:t>Denna tillsynsbegäran behandlar höga naturvärden i avverkningsanmälan A 34711-2023 i Härnösands kommun som inkom 2023-08-01 och omfattar 11,6 ha.</w:t>
      </w:r>
    </w:p>
    <w:p>
      <w:pPr>
        <w:pStyle w:val="Caption"/>
      </w:pPr>
      <w:r>
        <w:drawing>
          <wp:inline xmlns:a="http://schemas.openxmlformats.org/drawingml/2006/main" xmlns:pic="http://schemas.openxmlformats.org/drawingml/2006/picture">
            <wp:extent cx="5486400" cy="3898926"/>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389892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6954011, E 625900 i SWEREF 99 TM.</w:t>
      </w:r>
    </w:p>
    <w:p>
      <w:r>
        <w:t>I och inom 2 meter från avverkningsanmälan finns fynd av 9 naturvårdsarter, varav 5 är rödlistade, 9 är typiska (T) och 4 är signalarter (S): aspfjädermossa (VU, T), aspgelélav (VU, T), doftskinn (NT, T), kolflarnlav (NT, T), ullticka (NT, T), korallblylav (S,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aspgelélav (VU, T), doftskinn (NT, T), kolflarnlav (NT, T), ullticka (NT, T), korallblylav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