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9864-2024 i Sundsvalls kommun</w:t>
      </w:r>
    </w:p>
    <w:p>
      <w:r>
        <w:t>Detta dokument behandlar höga naturvärden i avverkningsanmälan A 9864-2024 i Sundsvalls kommun. Denna avverkningsanmälan inkom 2024-03-12 och omfattar 6,4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21 naturvårdsarter hittats: knärot (VU, §8), koppartaggsvamp (VU), ringlav (VU), svartfjällig musseron (VU), ulltickeporing (VU), duvhök (NT, §4), grantaggsvamp (NT), gultoppig fingersvamp (NT), motaggsvamp (NT), orange taggsvamp (NT), rosenticka (NT), stjärntagging (NT), svart taggsvamp (NT), tretåig hackspett (NT, §4), ullticka (NT), fjällig taggsvamp s.str. (S), grön sköldmossa (S, §8), grönpyrola (S), rödgul trumpetsvamp (S), skarp dropptaggsvamp (S) och nattviol (§8).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2091"/>
            <wp:docPr id="1" name="Picture 1"/>
            <wp:cNvGraphicFramePr>
              <a:graphicFrameLocks noChangeAspect="1"/>
            </wp:cNvGraphicFramePr>
            <a:graphic>
              <a:graphicData uri="http://schemas.openxmlformats.org/drawingml/2006/picture">
                <pic:pic>
                  <pic:nvPicPr>
                    <pic:cNvPr id="0" name="A 9864-2024 karta.png"/>
                    <pic:cNvPicPr/>
                  </pic:nvPicPr>
                  <pic:blipFill>
                    <a:blip r:embed="rId16"/>
                    <a:stretch>
                      <a:fillRect/>
                    </a:stretch>
                  </pic:blipFill>
                  <pic:spPr>
                    <a:xfrm>
                      <a:off x="0" y="0"/>
                      <a:ext cx="5486400" cy="4552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6905669, E 620429 i SWEREF 99 TM.</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 xml:space="preserve">Koppartaggsvamp (VU) </w:t>
      </w:r>
      <w:r>
        <w:t>bildar mykorrhiza med gran i örtrik äldre granskog på kalkrik mark. Arten är en mycket bra indikator på skyddsvärda kalkgranskogar och påfallande ofta växer den tillsammans med raggtaggsvamp (EN). Arten ingår i ett åtgärdsprogram för hotade arter (ÅGP) och dess långsiktiga överlevnad säkras genom att växtplatserna undantas från avverkning (SLU Artdatabanken, 2024;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Ringlav (VU)</w:t>
      </w:r>
      <w:r>
        <w:t>, rödlistad som sårbar, växer oftast på gran och tall i brandrefugiala halvöppna skogar med hög och jämn luftfuktighet. Under de senaste 50 åren har minskningstakten uppgått till 30 (20–40) %. Hur mycket den kommer att minska i framtiden beror på vad som kommer att ske med de stora förekomster som hittats men som ännu saknar skydd. Arten, som är placerad i toppen på Skogsstyrelsen värdepyramid för bedömning av skog med höga naturvärden, är ytterst känslig för förändringar i mikroklimatet och den överlever inte i skogsbestånd som gränsar till kalhyggen. Lavens förekomster tillsammans med väl tilltagna skyddszoner måste skyddas och undantas från produktionsinriktat skogsbruk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Svartfjällig musseron (VU)</w:t>
      </w:r>
      <w:r>
        <w:t xml:space="preserve"> är en sällsynt art som bildar mykorrhiza med gran på kalkrik mark. För att klara arten på sikt bör fler områden med granskog på kalkrik mark skyddas, särskilt i södra Sverige även om de är små. Växtplatser för denna art är alltid skyddsvärda eftersom de vanligen också innehåller många andra rödlistade svampar (SLU Artdatabanken, 2024;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knärot (VU, §8), duvhök (NT, §4), tretåig hackspett (NT, §4), grön sköldmossa (S, §8)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5.13 ha med buffertzonerna och får av detta skäl inte avverkas.</w:t>
      </w:r>
    </w:p>
    <w:p>
      <w:pPr>
        <w:pStyle w:val="Caption"/>
      </w:pPr>
      <w:r>
        <w:drawing>
          <wp:inline xmlns:a="http://schemas.openxmlformats.org/drawingml/2006/main" xmlns:pic="http://schemas.openxmlformats.org/drawingml/2006/picture">
            <wp:extent cx="5486400" cy="5648751"/>
            <wp:docPr id="2" name="Picture 2"/>
            <wp:cNvGraphicFramePr>
              <a:graphicFrameLocks noChangeAspect="1"/>
            </wp:cNvGraphicFramePr>
            <a:graphic>
              <a:graphicData uri="http://schemas.openxmlformats.org/drawingml/2006/picture">
                <pic:pic>
                  <pic:nvPicPr>
                    <pic:cNvPr id="0" name="A 9864-2024 karta knärot.png"/>
                    <pic:cNvPicPr/>
                  </pic:nvPicPr>
                  <pic:blipFill>
                    <a:blip r:embed="rId17"/>
                    <a:stretch>
                      <a:fillRect/>
                    </a:stretch>
                  </pic:blipFill>
                  <pic:spPr>
                    <a:xfrm>
                      <a:off x="0" y="0"/>
                      <a:ext cx="5486400" cy="564875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6905669, E 620429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21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