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48568-2023 i Sundsvalls kommun</w:t>
      </w:r>
    </w:p>
    <w:p>
      <w:r>
        <w:t>Detta dokument behandlar höga naturvärden i avverkningsanmälan A 48568-2023 i Sundsvalls kommun. Denna avverkningsanmälan inkom 2023-10-09 00:00:00 och omfattar 29,2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knärot (VU, §8), lunglavsknapp (VU), rynkskinn (VU), garnlav (NT), granticka (NT), gränsticka (NT), Leptoporus mollis (NT), lunglav (NT), rosenticka (NT), spillkråka (NT, §4), talltita (NT, §4), tretåig hackspett (NT, §4), ullticka (NT), bårdlav (S), grönpyrola (S), korallblylav (S), luddlav (S), norrlandslav (S), skinnlav (S), stuplav (S),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8568-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6911867, E 583770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två rödlistade parasiter vilka bara förekommer på lunglav, </w:t>
      </w:r>
      <w:r>
        <w:rPr>
          <w:i/>
        </w:rPr>
        <w:t>Dactylospora lobariella</w:t>
      </w:r>
      <w:r>
        <w:t xml:space="preserve"> (rödlistad som Kunskapsbrist DD) och </w:t>
      </w:r>
      <w:r>
        <w:rPr>
          <w:i/>
        </w:rPr>
        <w:t>Niesslia lobariae</w:t>
      </w:r>
      <w:r>
        <w:t xml:space="preserve"> (rödlistad som Kunskapsbrist DD). </w:t>
      </w:r>
      <w:r>
        <w:rPr>
          <w:i/>
        </w:rPr>
        <w:t>Dactylospora lobariella</w:t>
      </w:r>
      <w:r>
        <w:t xml:space="preserve"> har små svarta apothecier och bruna, 1-septerade sporer och </w:t>
      </w:r>
      <w:r>
        <w:rPr>
          <w:i/>
        </w:rPr>
        <w:t>Niesslia lobariae</w:t>
      </w:r>
      <w:r>
        <w:t xml:space="preserve"> har brunhåriga perithecier och färglösa, 1-septerade sporer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7.20 ha med buffertzonerna och får av detta skäl inte avverkas.</w:t>
      </w:r>
    </w:p>
    <w:p>
      <w:pPr>
        <w:pStyle w:val="Caption"/>
      </w:pPr>
      <w:r>
        <w:drawing>
          <wp:inline xmlns:a="http://schemas.openxmlformats.org/drawingml/2006/main" xmlns:pic="http://schemas.openxmlformats.org/drawingml/2006/picture">
            <wp:extent cx="5486400" cy="6227648"/>
            <wp:docPr id="2" name="Picture 2"/>
            <wp:cNvGraphicFramePr>
              <a:graphicFrameLocks noChangeAspect="1"/>
            </wp:cNvGraphicFramePr>
            <a:graphic>
              <a:graphicData uri="http://schemas.openxmlformats.org/drawingml/2006/picture">
                <pic:pic>
                  <pic:nvPicPr>
                    <pic:cNvPr id="0" name="A 48568-2023 karta knärot.png"/>
                    <pic:cNvPicPr/>
                  </pic:nvPicPr>
                  <pic:blipFill>
                    <a:blip r:embed="rId17"/>
                    <a:stretch>
                      <a:fillRect/>
                    </a:stretch>
                  </pic:blipFill>
                  <pic:spPr>
                    <a:xfrm>
                      <a:off x="0" y="0"/>
                      <a:ext cx="5486400" cy="6227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6911867, E 583770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