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30462-2026 i Sundsvalls kommun</w:t>
      </w:r>
    </w:p>
    <w:p>
      <w:r>
        <w:t>Denna tillsynsbegäran behandlar höga naturvärden i avverkningsanmälan A 30462-2026 i Sundsvalls kommun som inkom 2026-07-06 och omfattar 8,6 ha.</w:t>
      </w:r>
    </w:p>
    <w:p>
      <w:pPr>
        <w:pStyle w:val="Caption"/>
      </w:pPr>
      <w:r>
        <w:drawing>
          <wp:inline xmlns:a="http://schemas.openxmlformats.org/drawingml/2006/main" xmlns:pic="http://schemas.openxmlformats.org/drawingml/2006/picture">
            <wp:extent cx="5486400" cy="5045226"/>
            <wp:docPr id="1" name="Picture 1"/>
            <wp:cNvGraphicFramePr>
              <a:graphicFrameLocks noChangeAspect="1"/>
            </wp:cNvGraphicFramePr>
            <a:graphic>
              <a:graphicData uri="http://schemas.openxmlformats.org/drawingml/2006/picture">
                <pic:pic>
                  <pic:nvPicPr>
                    <pic:cNvPr id="0" name="A 30462-2026 karta.png"/>
                    <pic:cNvPicPr/>
                  </pic:nvPicPr>
                  <pic:blipFill>
                    <a:blip r:embed="rId16"/>
                    <a:stretch>
                      <a:fillRect/>
                    </a:stretch>
                  </pic:blipFill>
                  <pic:spPr>
                    <a:xfrm>
                      <a:off x="0" y="0"/>
                      <a:ext cx="5486400" cy="5045226"/>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6903975, E 633346 i SWEREF 99 TM.</w:t>
      </w:r>
    </w:p>
    <w:p>
      <w:r>
        <w:t>I och inom 8 meter från avverkningsanmälan finns fynd av 19 naturvårdsarter, varav 9 är rödlistade, 10 är fridlysta, 14 är typiska (T) och 3 är signalarter (S): aspgelélav (VU, T), garnlav (VU, T), knärot (VU, T, §8), lunglav (NT, T), rödvingetrast (NT, §4), talltita (NT, §4), ullticka (NT, T), vedskivlav (NT, T), violettgrå tagellav (NT, T), grönpyrola (S, T), lönnlav (S), spindelblomster (S, T, §8), blåsippa (T, §9), ormbär (T), spillkråka (T, §4), tjäder (T, §4), tofsmes (T, §4), fläcknycklar (§8)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1.61 ha med buffertzonerna och får av detta skäl inte avverkas.</w:t>
      </w:r>
    </w:p>
    <w:p>
      <w:pPr>
        <w:pStyle w:val="Caption"/>
      </w:pPr>
      <w:r>
        <w:drawing>
          <wp:inline xmlns:a="http://schemas.openxmlformats.org/drawingml/2006/main" xmlns:pic="http://schemas.openxmlformats.org/drawingml/2006/picture">
            <wp:extent cx="5486400" cy="4790702"/>
            <wp:docPr id="2" name="Picture 2"/>
            <wp:cNvGraphicFramePr>
              <a:graphicFrameLocks noChangeAspect="1"/>
            </wp:cNvGraphicFramePr>
            <a:graphic>
              <a:graphicData uri="http://schemas.openxmlformats.org/drawingml/2006/picture">
                <pic:pic>
                  <pic:nvPicPr>
                    <pic:cNvPr id="0" name="A 30462-2026 karta knärot.png"/>
                    <pic:cNvPicPr/>
                  </pic:nvPicPr>
                  <pic:blipFill>
                    <a:blip r:embed="rId17"/>
                    <a:stretch>
                      <a:fillRect/>
                    </a:stretch>
                  </pic:blipFill>
                  <pic:spPr>
                    <a:xfrm>
                      <a:off x="0" y="0"/>
                      <a:ext cx="5486400" cy="479070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6903975, E 633346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Ormbär</w:t>
      </w:r>
      <w:r>
        <w:t xml:space="preserve"> är typisk art för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aspgelélav (VU, T), garnlav (VU, T), knärot (VU, T, §8), lunglav (NT, T), ullticka (NT, T), vedskivlav (NT, T), violettgrå tagellav (NT, T), grönpyrola (S, T), spindelblomster (S, T, §8), blåsippa (T, §9), ormbär (T), spillkråka (T, §4), tjäder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