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26089-2025 i Sundsvalls kommun</w:t>
      </w:r>
    </w:p>
    <w:p>
      <w:r>
        <w:t>Detta klagomål behandlar höga naturvärden i avverkningsanmälan A 26089-2025 i Sundsvalls kommun som inkom 2025-05-28 och omfattar 9,4 ha.</w:t>
      </w:r>
    </w:p>
    <w:p>
      <w:pPr>
        <w:pStyle w:val="Caption"/>
      </w:pPr>
      <w:r>
        <w:drawing>
          <wp:inline xmlns:a="http://schemas.openxmlformats.org/drawingml/2006/main" xmlns:pic="http://schemas.openxmlformats.org/drawingml/2006/picture">
            <wp:extent cx="4146458" cy="5724000"/>
            <wp:docPr id="1" name="Picture 1"/>
            <wp:cNvGraphicFramePr>
              <a:graphicFrameLocks noChangeAspect="1"/>
            </wp:cNvGraphicFramePr>
            <a:graphic>
              <a:graphicData uri="http://schemas.openxmlformats.org/drawingml/2006/picture">
                <pic:pic>
                  <pic:nvPicPr>
                    <pic:cNvPr id="0" name="A 26089-2025 karta.png"/>
                    <pic:cNvPicPr/>
                  </pic:nvPicPr>
                  <pic:blipFill>
                    <a:blip r:embed="rId16"/>
                    <a:stretch>
                      <a:fillRect/>
                    </a:stretch>
                  </pic:blipFill>
                  <pic:spPr>
                    <a:xfrm>
                      <a:off x="0" y="0"/>
                      <a:ext cx="414645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6972651, E 600267 i SWEREF 99 TM.</w:t>
      </w:r>
    </w:p>
    <w:p>
      <w:r>
        <w:t>I och inom 22 meter från avverkningsanmälan finns fynd av 14 naturvårdsarter, varav 12 är rödlistade, 2 är fridlysta, 10 är typiska (T) och 1 är signalart (S): fläckporing (VU, T), garnlav (VU, T), gräddporing (VU, T), blanksvart spiklav (NT), drillsnäppa (NT, §4), dvärgbägarlav (NT, T), kolflarnlav (NT, T), lunglav (NT, T), nordtagging (NT), tallticka (NT, T), vedflamlav (NT), vedskivlav (NT, T), skinnlav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