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som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garnlav (VU, T), gammelgransskål (NT, T), vitgrynig nållav (NT) och barkticka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