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6680-2026 i Sundsvalls kommun</w:t>
      </w:r>
    </w:p>
    <w:p>
      <w:r>
        <w:t>Detta dokument behandlar höga naturvärden i avverkningsanmälan A 6680-2026 i Sundsvalls kommun som inkom 2026-02-03 och omfattar 20,7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igelkott (VU) och huggorm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352172"/>
            <wp:docPr id="1" name="Picture 1"/>
            <wp:cNvGraphicFramePr>
              <a:graphicFrameLocks noChangeAspect="1"/>
            </wp:cNvGraphicFramePr>
            <a:graphic>
              <a:graphicData uri="http://schemas.openxmlformats.org/drawingml/2006/picture">
                <pic:pic>
                  <pic:nvPicPr>
                    <pic:cNvPr id="0" name="A 6680-2026 karta.png"/>
                    <pic:cNvPicPr/>
                  </pic:nvPicPr>
                  <pic:blipFill>
                    <a:blip r:embed="rId16"/>
                    <a:stretch>
                      <a:fillRect/>
                    </a:stretch>
                  </pic:blipFill>
                  <pic:spPr>
                    <a:xfrm>
                      <a:off x="0" y="0"/>
                      <a:ext cx="5486400" cy="3352172"/>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6930949, E 592550 i SWEREF 99 TM.</w:t>
      </w:r>
    </w:p>
    <w:p>
      <w:pPr>
        <w:pStyle w:val="Heading2"/>
      </w:pPr>
      <w:r>
        <w:t>Fridlysta arter</w:t>
      </w:r>
    </w:p>
    <w:p>
      <w:r>
        <w:t>Följande fridlysta arter har sina livsmiljöer och växtplatser i den avverkningsanmälda skogen: huggorm (§6).</w:t>
      </w:r>
    </w:p>
    <w:p>
      <w:pPr>
        <w:pStyle w:val="Heading2"/>
      </w:pPr>
      <w:r>
        <w:t>Övriga naturvårdsarter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