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20751-2024 i Sundsvalls kommun</w:t>
      </w:r>
    </w:p>
    <w:p>
      <w:r>
        <w:t>Denna tillsynsbegäran behandlar höga naturvärden i avverkningsanmälan A 20751-2024 i Sundsvalls kommun som inkom 2024-05-24 och omfattar 0,7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20751-2024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6924329, E 592810 i SWEREF 99 TM.</w:t>
      </w:r>
    </w:p>
    <w:p>
      <w:r>
        <w:t>I och inom 19 meter från avverkningsanmälan finns fynd av 20 naturvårdsarter, varav 9 är rödlistade, 7 är fridlysta, 15 är typiska (T) och 8 är signalarter (S): svartfjällig musseron (VU), enkelbeckasin (NT, §4), lunglav (NT, T), orange taggsvamp (NT, T), rosenticka (NT, T), skogsfru (NT, §8), talltita (NT, §4), ullticka (NT, T), vårärt (NT, T), gytterlav (S, T), mörk husmossa (S, T), plattlummer (S, T, §9), stor aspticka (S, T), svart trolldruva (S, T), tibast (S, T), underviol (S, T), ögonpyrola (S, T),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orange taggsvamp (NT, T), rosenticka (NT, T), ullticka (NT, T), vårärt (NT, T), gytterlav (S, T), mörk husmossa (S, T), plattlummer (S, T, §9), stor aspticka (S, T), svart trolldruva (S, T), tibast (S, T), underviol (S, T), ögonpyrola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