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16388-2023 i Sundsvalls kommun</w:t>
      </w:r>
    </w:p>
    <w:p>
      <w:r>
        <w:t>Detta klagomål behandlar höga naturvärden i avverkningsanmälan A 16388-2023 i Sundsvalls kommun som inkom 2023-04-06 och omfattar 10,1 ha.</w:t>
      </w:r>
    </w:p>
    <w:p>
      <w:pPr>
        <w:pStyle w:val="Caption"/>
      </w:pPr>
      <w:r>
        <w:drawing>
          <wp:inline xmlns:a="http://schemas.openxmlformats.org/drawingml/2006/main" xmlns:pic="http://schemas.openxmlformats.org/drawingml/2006/picture">
            <wp:extent cx="4740495" cy="5724000"/>
            <wp:docPr id="1" name="Picture 1"/>
            <wp:cNvGraphicFramePr>
              <a:graphicFrameLocks noChangeAspect="1"/>
            </wp:cNvGraphicFramePr>
            <a:graphic>
              <a:graphicData uri="http://schemas.openxmlformats.org/drawingml/2006/picture">
                <pic:pic>
                  <pic:nvPicPr>
                    <pic:cNvPr id="0" name="A 16388-2023 karta.png"/>
                    <pic:cNvPicPr/>
                  </pic:nvPicPr>
                  <pic:blipFill>
                    <a:blip r:embed="rId16"/>
                    <a:stretch>
                      <a:fillRect/>
                    </a:stretch>
                  </pic:blipFill>
                  <pic:spPr>
                    <a:xfrm>
                      <a:off x="0" y="0"/>
                      <a:ext cx="4740495" cy="5724000"/>
                    </a:xfrm>
                    <a:prstGeom prst="rect"/>
                  </pic:spPr>
                </pic:pic>
              </a:graphicData>
            </a:graphic>
          </wp:inline>
        </w:drawing>
      </w:r>
    </w:p>
    <w:p>
      <w:pPr>
        <w:pStyle w:val="Caption"/>
        <w:spacing w:after="240"/>
      </w:pPr>
      <w:r>
        <w:t>Figur 1. Fyndplatser för naturvårdsarter i och inom 2 meter från avverkningsanmälan. Markörer utan svart kant är placerade på fyndplatsen. Markörer med svart kant är placerade vid sidan av fyndplatsen och har ett svart streck som visar fyndplatsens exakta position. Kartans mittpunktskoordinat är N 6898454, E 621666 i SWEREF 99 TM.</w:t>
      </w:r>
    </w:p>
    <w:p>
      <w:r>
        <w:t>I och inom 2 meter från avverkningsanmälan finns fynd av 17 naturvårdsarter, varav 13 är rödlistade, 2 är fridlysta, 15 är typiska (T) och 4 är signalarter (S): aspgelélav (VU, T), garnlav (VU, T), knärot (VU, T, §8), doftskinn (NT, T), kattfotslav (NT, T), kötticka (NT), lunglav (NT, T), orange taggsvamp (NT, T), rosenticka (NT, T), tretåig hackspett (NT, T, §4), ullticka (NT, T), vedskivlav (NT, T), violettgrå tagellav (NT, T), björksplintborre (S), rostfläck (S, T), stor aspticka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17 fyndplatser för knärot registrerade på Artportalen. Figur 2 visar gränserna för buffertzoner på 50 m, som behöver lämnas kring fyndplatserna för att knärotslokalerna inte ska försvinna vid en avverkning. Av det avverkningsanmälda området överlappar 6.08 ha med buffertzonerna och får av detta skäl inte avverkas.</w:t>
      </w:r>
    </w:p>
    <w:p>
      <w:pPr>
        <w:pStyle w:val="Caption"/>
      </w:pPr>
      <w:r>
        <w:drawing>
          <wp:inline xmlns:a="http://schemas.openxmlformats.org/drawingml/2006/main" xmlns:pic="http://schemas.openxmlformats.org/drawingml/2006/picture">
            <wp:extent cx="5486400" cy="9664300"/>
            <wp:docPr id="2" name="Picture 2"/>
            <wp:cNvGraphicFramePr>
              <a:graphicFrameLocks noChangeAspect="1"/>
            </wp:cNvGraphicFramePr>
            <a:graphic>
              <a:graphicData uri="http://schemas.openxmlformats.org/drawingml/2006/picture">
                <pic:pic>
                  <pic:nvPicPr>
                    <pic:cNvPr id="0" name="A 16388-2023 karta knärot.png"/>
                    <pic:cNvPicPr/>
                  </pic:nvPicPr>
                  <pic:blipFill>
                    <a:blip r:embed="rId17"/>
                    <a:stretch>
                      <a:fillRect/>
                    </a:stretch>
                  </pic:blipFill>
                  <pic:spPr>
                    <a:xfrm>
                      <a:off x="0" y="0"/>
                      <a:ext cx="5486400" cy="9664300"/>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6898454, E 621666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Kötticka (NT)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 xml:space="preserve">Rostfläck </w:t>
      </w:r>
      <w:r>
        <w:t xml:space="preserve">signalerar framför allt höga naturvärden i östra Sverige samt norr om den naturliga norrlandsgränsen. Arten indikerar här skogsmiljöer som under lång tid haft ett konstant fuktigt mikroklimat. Rika förekomster i Norrland visar sannolikt på bestånd med långvarig kontinuitet av gamla träd. När laven påträffas i alkärr signalerar den höga naturvärden inom hela sitt utbredningsområde. Rostfläck är typisk art för </w:t>
      </w:r>
      <w:r>
        <w:rPr>
          <w:i/>
        </w:rPr>
        <w:t xml:space="preserve">9190 Näringsfattig ekskog </w:t>
      </w:r>
      <w:r>
        <w:t>(Nitare &amp; Skogsstyrelsen, 2019; SLU Artdatabanken, 2025).</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