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22522-2026 i Sundsvalls kommun</w:t>
      </w:r>
    </w:p>
    <w:p>
      <w:r>
        <w:t>Denna tillsynsbegäran behandlar höga naturvärden i avverkningsanmälan A 22522-2026 i Sundsvalls kommun som inkom 2026-05-13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7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7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6919999, E 613689 i SWEREF 99 TM.</w:t>
      </w:r>
    </w:p>
    <w:p>
      <w:r>
        <w:t>I avverkningsanmälan finns fynd av 2 naturvårdsarter, varav 1 är rödlistad och 1 är signalart (S): blackticka (VU) och thomsons trägnagare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Blackticka (VU)</w:t>
      </w:r>
      <w:r>
        <w:t>, rödlistad som sårbar, är en exklusiv svamp som signalerar fuktiga granskogar med mycket höga naturvärden. Den har klassificerats som en “urskogsindikator” och påträffas nästan enbart i urskogsartade barrnaturskogar med långvarig kontinuitet av grova lågor i olika nedbrytningsstadier. Skogsskötselåtgärder på eller i omedelbar närhet av lokalerna utgör ett hot och på lång sikt innebär fragmenteringen av skogslandskapet att artens förekomster isoleras vilket i sig utgör ett hot mot artens överlevnad. Fler skogar med blackticka måste skyddas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