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16264-2026 i Sundsvalls kommun</w:t>
      </w:r>
    </w:p>
    <w:p>
      <w:r>
        <w:t>Denna tillsynsbegäran behandlar höga naturvärden i avverkningsanmälan A 16264-2026 i Sundsvalls kommun som inkom 2026-03-30 och omfattar 3,9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6898926, E 620248 i SWEREF 99 TM.</w:t>
      </w:r>
    </w:p>
    <w:p>
      <w:r>
        <w:t>I och inom 24 meter från avverkningsanmälan finns fynd av 21 naturvårdsarter, varav 17 är rödlistade, 2 är fridlysta, 14 är typiska (T) och 4 är signalarter (S): garnlav (VU, T), Skeletocutis delicata (VU), apelsinticka (NT), blågrå svartspik (NT), brunpudrad nållav (NT, T), dvärgbägarlav (NT, T), kolflarnlav (NT, T), kortskaftad ärgspik (NT), lunglav (NT, T), talltagel (NT, T), tallticka (NT, T), talltita (NT, §4), tretåig hackspett (NT, T, §4), ullticka (NT, T), vedflamlav (NT), vedskivlav (NT, T), violettgrå tagellav (NT, T), bronshjon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talltagel (NT, T), tallticka (NT, T), tretåig hackspett (NT, T, §4), ullticka (NT, T), vedskivlav (NT, T), violettgrå tagellav (NT, T), bronshjon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