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730713"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73071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31 naturvårdsarter, varav 17 är rödlistade, 6 är fridlysta, 23 är typiska (T) och 11 är signalarter (S): blackticka (VU), garnlav (VU, T), sprickporing (VU), brunpudrad nållav (NT, T), doftskinn (NT, T), dropptaggsvamp (NT, T), duvhök (NT, §4), gammelgransskål (NT, T), kolflarnlav (NT, T), lunglav (NT, T), rosenticka (NT, T), rynkskinn (NT, T), talltita (NT, §4), tretåig hackspett (NT, T, §4), ullticka (NT, T), violettgrå tagellav (NT, T), vitgrynig nållav (NT),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rosenticka (NT, T), rynkskinn (NT, T), tretåig hackspett (NT, T, §4), ullticka (NT, T), violettgrå tagellav (NT,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