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13934-2025 i Sundsvalls kommun</w:t>
      </w:r>
    </w:p>
    <w:p>
      <w:r>
        <w:t>Detta klagomål behandlar höga naturvärden i avverkningsanmälan A 13934-2025 i Sundsvalls kommun som inkom 2025-03-21 och omfattar 11,0 ha.</w:t>
      </w:r>
    </w:p>
    <w:p>
      <w:pPr>
        <w:pStyle w:val="Caption"/>
      </w:pPr>
      <w:r>
        <w:drawing>
          <wp:inline xmlns:a="http://schemas.openxmlformats.org/drawingml/2006/main" xmlns:pic="http://schemas.openxmlformats.org/drawingml/2006/picture">
            <wp:extent cx="5079854" cy="5724000"/>
            <wp:docPr id="1" name="Picture 1"/>
            <wp:cNvGraphicFramePr>
              <a:graphicFrameLocks noChangeAspect="1"/>
            </wp:cNvGraphicFramePr>
            <a:graphic>
              <a:graphicData uri="http://schemas.openxmlformats.org/drawingml/2006/picture">
                <pic:pic>
                  <pic:nvPicPr>
                    <pic:cNvPr id="0" name="A 13934-2025 karta.png"/>
                    <pic:cNvPicPr/>
                  </pic:nvPicPr>
                  <pic:blipFill>
                    <a:blip r:embed="rId16"/>
                    <a:stretch>
                      <a:fillRect/>
                    </a:stretch>
                  </pic:blipFill>
                  <pic:spPr>
                    <a:xfrm>
                      <a:off x="0" y="0"/>
                      <a:ext cx="50798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6898935, E 633079 i SWEREF 99 TM.</w:t>
      </w:r>
    </w:p>
    <w:p>
      <w:r>
        <w:t>I avverkningsanmälan finns fynd av 17 naturvårdsarter, varav 13 är rödlistade, 4 är fridlysta, 13 är typiska (T) och 3 är signalarter (S): aspgelélav (VU, T), garnlav (VU, T), knärot (VU, T, §8), liten hornflikmossa (VU), brunpudrad nållav (NT, T), gultoppig fingersvamp (NT), kattfotslav (NT, T), koralltaggsvamp (NT, T), lunglav (NT, T), mindre hackspett (NT, T, §4), orange taggsvamp (NT, T), tretåig hackspett (NT, T, §4), vedtrappmossa (NT, T), svavelriska (S), thomsons trägnagare (S), vedticka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3.70 ha med buffertzonerna och får av detta skäl inte avverkas.</w:t>
      </w:r>
    </w:p>
    <w:p>
      <w:pPr>
        <w:pStyle w:val="Caption"/>
      </w:pPr>
      <w:r>
        <w:drawing>
          <wp:inline xmlns:a="http://schemas.openxmlformats.org/drawingml/2006/main" xmlns:pic="http://schemas.openxmlformats.org/drawingml/2006/picture">
            <wp:extent cx="5486400" cy="5806911"/>
            <wp:docPr id="2" name="Picture 2"/>
            <wp:cNvGraphicFramePr>
              <a:graphicFrameLocks noChangeAspect="1"/>
            </wp:cNvGraphicFramePr>
            <a:graphic>
              <a:graphicData uri="http://schemas.openxmlformats.org/drawingml/2006/picture">
                <pic:pic>
                  <pic:nvPicPr>
                    <pic:cNvPr id="0" name="A 13934-2025 karta knärot.png"/>
                    <pic:cNvPicPr/>
                  </pic:nvPicPr>
                  <pic:blipFill>
                    <a:blip r:embed="rId17"/>
                    <a:stretch>
                      <a:fillRect/>
                    </a:stretch>
                  </pic:blipFill>
                  <pic:spPr>
                    <a:xfrm>
                      <a:off x="0" y="0"/>
                      <a:ext cx="5486400" cy="58069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6898935, E 633079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