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som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havstrut (EN, §4), drillsnäppa (NT, §4), flodsångare (NT, §4), gullpudra (NT, T), mindre hackspett (NT, T, §4), rödprick (NT), sparvuggla (NT, §4), tretåig hackspett (NT, T, §4), öring (NT), scharlakansskål (S), gråspett (T, §4), spillkråka (T, §4), tallbit (T, §4), näktergal (§4), trana (§4) och sik (§None).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2"/>
      </w:pPr>
      <w:r>
        <w:t>Fridlysta arter</w:t>
      </w:r>
    </w:p>
    <w:p>
      <w:r>
        <w:t>Följande fridlysta arter har sina livsmiljöer och växtplatser i den avverkningsanmälda skogen: havstrut (EN, §4), drillsnäppa (NT, §4), flodsångare (NT, §4), mindre hackspett (NT, T, §4), sparvuggla (NT, §4), tretåig hackspett (NT, T, §4), gråspett (T, §4), spillkråka (T, §4), tallbit (T, §4), näktergal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