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39004-2024 i Sundsvalls kommun</w:t>
      </w:r>
    </w:p>
    <w:p>
      <w:r>
        <w:t>Detta dokument behandlar höga naturvärden i avverkningsanmälan A 39004-2024 i Sundsvalls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parasollmossa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6900428, E 590329 i SWEREF 99 TM.</w:t>
      </w:r>
    </w:p>
    <w:p>
      <w:r>
        <w:rPr>
          <w:b/>
        </w:rPr>
        <w:t xml:space="preserve">Liten parasollmossa </w:t>
      </w:r>
      <w:r>
        <w:t>växer på spillning men har även hittats på lövträdsstubbar. Hotbilden är mycket oklar då arten har ett dynamiskt levnadssätt på enskilda lokaler. Klart är dock att arten är sällsynt och därigenom sårbar för förändrad markanvändning på växtplatsen, såsom slutavverkning och dikning. Kända lokaler måste övervakas och slutavverkning eller förändringar i hydrologin bör undvikas. Liten parasollmossa är globalt rödlistad som starkt hotad (EN) vilket medför ett internationellt ansvar för arten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