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49327-2023 i Sundsvalls kommun</w:t>
      </w:r>
    </w:p>
    <w:p>
      <w:r>
        <w:t>Denna tillsynsbegäran behandlar höga naturvärden i avverkningsanmälan A 49327-2023 i Sundsvalls kommun som inkom 2023-10-11 och omfattar 6,4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6968702, E 583070 i SWEREF 99 TM.</w:t>
      </w:r>
    </w:p>
    <w:p>
      <w:r>
        <w:t>I och inom 25 meter från avverkningsanmälan finns fynd av 20 naturvårdsarter, varav 10 är rödlistade, 9 är fridlysta, 15 är typiska (T) och 3 är signalarter (S): garnlav (VU, T), knärot (VU, T, §8), gammelgransskål (NT, T), järnsparv (NT, §4), lunglav (NT, T), rosenticka (NT, T), rynkskinn (NT, T), rödvingetrast (NT, §4), tretåig hackspett (NT, T, §4), ullticka (NT, T), bårdlav (S, T), stuplav (S, T), vedticka (S, T), kärrfibbla (T), nordisk stormhatt (T), spillkråka (T, §4), tofsmes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tretåig hackspett (NT, T, §4), ullticka (NT, T), bårdlav (S, T), stuplav (S, T), vedticka (S, T), kärrfibbla (T), nordisk stormhatt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