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34866-2024 i Sundsvalls kommun</w:t>
      </w:r>
    </w:p>
    <w:p>
      <w:r>
        <w:t>Denna tillsynsbegäran behandlar höga naturvärden i avverkningsanmälan A 34866-2024 i Sundsvalls kommun som inkom 2024-08-23 och omfattar 7,6 ha.</w:t>
      </w:r>
    </w:p>
    <w:p>
      <w:pPr>
        <w:pStyle w:val="Caption"/>
      </w:pPr>
      <w:r>
        <w:drawing>
          <wp:inline xmlns:a="http://schemas.openxmlformats.org/drawingml/2006/main" xmlns:pic="http://schemas.openxmlformats.org/drawingml/2006/picture">
            <wp:extent cx="4568524" cy="5724000"/>
            <wp:docPr id="1" name="Picture 1"/>
            <wp:cNvGraphicFramePr>
              <a:graphicFrameLocks noChangeAspect="1"/>
            </wp:cNvGraphicFramePr>
            <a:graphic>
              <a:graphicData uri="http://schemas.openxmlformats.org/drawingml/2006/picture">
                <pic:pic>
                  <pic:nvPicPr>
                    <pic:cNvPr id="0" name="A 34866-2024 karta.png"/>
                    <pic:cNvPicPr/>
                  </pic:nvPicPr>
                  <pic:blipFill>
                    <a:blip r:embed="rId16"/>
                    <a:stretch>
                      <a:fillRect/>
                    </a:stretch>
                  </pic:blipFill>
                  <pic:spPr>
                    <a:xfrm>
                      <a:off x="0" y="0"/>
                      <a:ext cx="4568524"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6928063, E 589084 i SWEREF 99 TM.</w:t>
      </w:r>
    </w:p>
    <w:p>
      <w:r>
        <w:t>I och inom 10 meter från avverkningsanmälan finns fynd av 38 naturvårdsarter, varav 23 är rödlistade, 7 är fridlysta, 28 är typiska (T) och 12 är signalarter (S): blackticka (VU), garnlav (VU, T), gränsticka (VU, T), knärot (VU, T, §8), liten hornflikmossa (VU), sprickporing (VU), brunpudrad nållav (NT, T), doftskinn (NT, T), dropptaggsvamp (NT, T), duvhök (NT, §4), gammelgransskål (NT, T), kolflarnlav (NT, T), lunglav (NT, T), rosenticka (NT, T), rynkskinn (NT, T), stjärntagging (NT, T), svart taggsvamp (NT), talltita (NT, §4), tretåig hackspett (NT, T, §4), ullticka (NT, T), vedtrappmossa (NT, T), violettgrå tagellav (NT, T), vitgrynig nållav (NT), barkkornlav (S, T), bollvitmossa (S, T), bårdlav (S, T), grönpyrola (S, T), gulnål (S, T), luddlav (S, T), norrlandslav (S, T), nästlav (S, T), rödgul trumpetsvamp (S), skinnlav (S, T), stuplav (S, T), vedticka (S, T), järpe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5659853"/>
            <wp:docPr id="2" name="Picture 2"/>
            <wp:cNvGraphicFramePr>
              <a:graphicFrameLocks noChangeAspect="1"/>
            </wp:cNvGraphicFramePr>
            <a:graphic>
              <a:graphicData uri="http://schemas.openxmlformats.org/drawingml/2006/picture">
                <pic:pic>
                  <pic:nvPicPr>
                    <pic:cNvPr id="0" name="A 34866-2024 karta knärot.png"/>
                    <pic:cNvPicPr/>
                  </pic:nvPicPr>
                  <pic:blipFill>
                    <a:blip r:embed="rId17"/>
                    <a:stretch>
                      <a:fillRect/>
                    </a:stretch>
                  </pic:blipFill>
                  <pic:spPr>
                    <a:xfrm>
                      <a:off x="0" y="0"/>
                      <a:ext cx="5486400" cy="565985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6928063, E 589084 i SWEREF 99 TM.</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Svart taggsvamp (NT)</w:t>
      </w:r>
      <w:r>
        <w:t xml:space="preserve"> bildar mykorrhiza med tall, möjligen även med gran, i barrskog på kalkrik eller annan basiskt påverkad mark. Den totala populationen i landet har minskat och bedöms fortsätta minska till följd av avverkning av kalkbarrskogar. Arten har begränsad förmåga att återetablera sig efter slutavverkning eller andra storskaliga skogsbruksåtgärder. Det finns inga indikationer på att arten långsiktigt kan etablera eller reproducera sig i skogsbestånd som brukas med trakthyggesmetoder, markberedning, gödsling eller föryngring med förädlat plantmaterial. Minskningstakten uppgår till 25 (15–50) % inom 50 år och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brunpudrad nållav (NT, T), doftskinn (NT, T), dropptaggsvamp (NT, T), gammelgransskål (NT, T), kolflarnlav (NT, T), lunglav (NT, T), rosenticka (NT, T), rynkskinn (NT, T), stjärntagging (NT, T), tretåig hackspett (NT, T, §4), ullticka (NT, T), vedtrappmossa (NT, T), violettgrå tagellav (NT, T), barkkornlav (S, T), bollvitmossa (S, T), bårdlav (S, T), grönpyrola (S, T), gulnål (S, T), luddlav (S, T), norrlandslav (S, T), nästlav (S, T), skinnlav (S, T), stuplav (S, T), vedticka (S,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