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klagomål behandlar höga naturvärden i avverkningsanmälan A 13934-2025 i Sundsvalls kommun som inkom 2025-03-21 och omfattar 11,0 ha.</w:t>
      </w:r>
    </w:p>
    <w:p>
      <w:pPr>
        <w:pStyle w:val="Caption"/>
      </w:pPr>
      <w:r>
        <w:drawing>
          <wp:inline xmlns:a="http://schemas.openxmlformats.org/drawingml/2006/main" xmlns:pic="http://schemas.openxmlformats.org/drawingml/2006/picture">
            <wp:extent cx="5079854" cy="572400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079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6898935, E 633079 i SWEREF 99 TM.</w:t>
      </w:r>
    </w:p>
    <w:p>
      <w:r>
        <w:t>I avverkningsanmälan finns fynd av 17 naturvårdsarter, varav 13 är rödlistade, 4 är fridlysta, 13 är typiska (T) och 3 är signalarter (S): aspgelélav (VU, T), garnlav (VU, T), knärot (VU, T, §8), liten hornflikmossa (VU), brunpudrad nållav (NT, T), gultoppig fingersvamp (NT), kattfotslav (NT, T), koralltaggsvamp (NT, T), lunglav (NT, T), mindre hackspett (NT, T, §4), orange taggsvamp (NT, T), tretåig hackspett (NT, T, §4), vedtrappmossa (NT, T), svavelriska (S), thomsons trägnagare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