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40428-2023 i Sundsvalls kommun</w:t>
      </w:r>
    </w:p>
    <w:p>
      <w:r>
        <w:t>Denna tillsynsbegäran behandlar höga naturvärden i avverkningsanmälan A 40428-2023 i Sundsvalls kommun som inkom 2023-08-31 och omfattar 6,6 ha.</w:t>
      </w:r>
    </w:p>
    <w:p>
      <w:pPr>
        <w:pStyle w:val="Caption"/>
      </w:pPr>
      <w:r>
        <w:drawing>
          <wp:inline xmlns:a="http://schemas.openxmlformats.org/drawingml/2006/main" xmlns:pic="http://schemas.openxmlformats.org/drawingml/2006/picture">
            <wp:extent cx="5106327" cy="5724000"/>
            <wp:docPr id="1" name="Picture 1"/>
            <wp:cNvGraphicFramePr>
              <a:graphicFrameLocks noChangeAspect="1"/>
            </wp:cNvGraphicFramePr>
            <a:graphic>
              <a:graphicData uri="http://schemas.openxmlformats.org/drawingml/2006/picture">
                <pic:pic>
                  <pic:nvPicPr>
                    <pic:cNvPr id="0" name="A 40428-2023 karta.png"/>
                    <pic:cNvPicPr/>
                  </pic:nvPicPr>
                  <pic:blipFill>
                    <a:blip r:embed="rId16"/>
                    <a:stretch>
                      <a:fillRect/>
                    </a:stretch>
                  </pic:blipFill>
                  <pic:spPr>
                    <a:xfrm>
                      <a:off x="0" y="0"/>
                      <a:ext cx="510632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6942306, E 585851 i SWEREF 99 TM.</w:t>
      </w:r>
    </w:p>
    <w:p>
      <w:r>
        <w:t>I och inom 1 meter från avverkningsanmälan finns fynd av 14 naturvårdsarter, varav 9 är rödlistade, 6 är fridlysta och 12 är typiska (T): garnlav (VU, T), kolflarnlav (NT, T), lunglav (NT, T), rosenticka (NT, T), rynkskinn (NT, T), talltita (NT, §4), tretåig hackspett (NT, T, §4), ullticka (NT, T), vedtrappmossa (NT, T), gråspett (T, §4), järpe (T, §4), linnea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rosenticka (NT, T), rynkskinn (NT, T), tretåig hackspett (NT, T, §4), ullticka (NT, T), vedtrappmossa (NT, T), gråspett (T, §4), järpe (T, §4),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