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13443-2025 i Sundsvalls kommun</w:t>
      </w:r>
    </w:p>
    <w:p>
      <w:r>
        <w:t>Detta dokument behandlar höga naturvärden i avverkningsanmälan A 13443-2025 i Sundsvalls kommun. Denna avverkningsanmälan inkom 2025-03-20 00:00:00 och omfattar 12,5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orange taggsvamp (NT), skogsfru (NT, §8), kattfotslav (S), spindelblomster (S, §8), tvåblad (S, §8), fläcknycklar (§8) och nattviol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7182"/>
            <wp:docPr id="1" name="Picture 1"/>
            <wp:cNvGraphicFramePr>
              <a:graphicFrameLocks noChangeAspect="1"/>
            </wp:cNvGraphicFramePr>
            <a:graphic>
              <a:graphicData uri="http://schemas.openxmlformats.org/drawingml/2006/picture">
                <pic:pic>
                  <pic:nvPicPr>
                    <pic:cNvPr id="0" name="A 13443-2025 karta.png"/>
                    <pic:cNvPicPr/>
                  </pic:nvPicPr>
                  <pic:blipFill>
                    <a:blip r:embed="rId16"/>
                    <a:stretch>
                      <a:fillRect/>
                    </a:stretch>
                  </pic:blipFill>
                  <pic:spPr>
                    <a:xfrm>
                      <a:off x="0" y="0"/>
                      <a:ext cx="5486400" cy="37971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6898637, E 632807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skogsfru (NT, §8), spindelblomster (S, §8), tvåblad (S, §8), fläcknycklar (§8) och nattviol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0.30 ha med buffertzonerna och får av detta skäl inte avverkas.</w:t>
      </w:r>
    </w:p>
    <w:p>
      <w:pPr>
        <w:pStyle w:val="Caption"/>
      </w:pPr>
      <w:r>
        <w:drawing>
          <wp:inline xmlns:a="http://schemas.openxmlformats.org/drawingml/2006/main" xmlns:pic="http://schemas.openxmlformats.org/drawingml/2006/picture">
            <wp:extent cx="5486400" cy="4444942"/>
            <wp:docPr id="2" name="Picture 2"/>
            <wp:cNvGraphicFramePr>
              <a:graphicFrameLocks noChangeAspect="1"/>
            </wp:cNvGraphicFramePr>
            <a:graphic>
              <a:graphicData uri="http://schemas.openxmlformats.org/drawingml/2006/picture">
                <pic:pic>
                  <pic:nvPicPr>
                    <pic:cNvPr id="0" name="A 13443-2025 karta knärot.png"/>
                    <pic:cNvPicPr/>
                  </pic:nvPicPr>
                  <pic:blipFill>
                    <a:blip r:embed="rId17"/>
                    <a:stretch>
                      <a:fillRect/>
                    </a:stretch>
                  </pic:blipFill>
                  <pic:spPr>
                    <a:xfrm>
                      <a:off x="0" y="0"/>
                      <a:ext cx="5486400" cy="444494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6898637, E 632807 i SWEREF 99 TM.</w:t>
      </w:r>
    </w:p>
    <w:p>
      <w:pPr>
        <w:pStyle w:val="Caption"/>
      </w:pPr>
    </w:p>
    <w:p>
      <w:r>
        <w:rPr>
          <w:b/>
        </w:rPr>
        <w:t>Skogsfru (NT, §8)</w:t>
      </w:r>
      <w:r>
        <w:t xml:space="preserve"> växer i fuktig, skuggig skog med rörligt markvatten och god förnaproduktion. Den är placerad högst upp i Skogsstyrelsens värdepyramid för bedömning av skog med höga naturvärden och fridlyst enligt 8 § artskyddsförordningen. Slutavverkning utan hänsyn, markberedning och skyddsdikning utgör de allvarligaste hoten mot arten (SLU Artdatabanken, 2024).</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