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13934-2025 i Sundsvalls kommun</w:t>
      </w:r>
    </w:p>
    <w:p>
      <w:r>
        <w:t>Detta dokument behandlar höga naturvärden i avverkningsanmälan A 13934-2025 i Sundsvalls kommun. Denna avverkningsanmälan inkom 2025-03-21 00:00:00 och omfattar 11,0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aspgelélav (VU), knärot (VU, §8), liten hornflikmossa (VU), brunpudrad nållav (NT), garnlav (NT), gultoppig fingersvamp (NT), koralltaggsvamp (NT), lunglav (NT), mindre hackspett (NT, §4), orange taggsvamp (NT), tretåig hackspett (NT, §4), vedtrappmossa (NT), kattfotslav (S), stor aspticka (S), svavelriska (S), thomsons trägnagare (S), vedticka (S) och blåsippa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1728"/>
            <wp:docPr id="1" name="Picture 1"/>
            <wp:cNvGraphicFramePr>
              <a:graphicFrameLocks noChangeAspect="1"/>
            </wp:cNvGraphicFramePr>
            <a:graphic>
              <a:graphicData uri="http://schemas.openxmlformats.org/drawingml/2006/picture">
                <pic:pic>
                  <pic:nvPicPr>
                    <pic:cNvPr id="0" name="A 13934-2025 karta.png"/>
                    <pic:cNvPicPr/>
                  </pic:nvPicPr>
                  <pic:blipFill>
                    <a:blip r:embed="rId16"/>
                    <a:stretch>
                      <a:fillRect/>
                    </a:stretch>
                  </pic:blipFill>
                  <pic:spPr>
                    <a:xfrm>
                      <a:off x="0" y="0"/>
                      <a:ext cx="5486400" cy="43817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6898935, E 633079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Liten hornflikmossa (VU)</w:t>
      </w:r>
      <w:r>
        <w:t xml:space="preserve"> växer på grova murkna lågor i sluten och urskogsartad granskog med hög och jämn luftfuktighet. Arten är placerad högst upp i Skogsstyrelsens värdepyramid för bedömning av skog med höga naturvärden och samtliga kända lokaler med liten hornflikmossa bör ges ett ändamålsenligt skydd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mindre hackspett (NT, §4), tretåig hackspett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3.70 ha med buffertzonerna och får av detta skäl inte avverkas.</w:t>
      </w:r>
    </w:p>
    <w:p>
      <w:pPr>
        <w:pStyle w:val="Caption"/>
      </w:pPr>
      <w:r>
        <w:drawing>
          <wp:inline xmlns:a="http://schemas.openxmlformats.org/drawingml/2006/main" xmlns:pic="http://schemas.openxmlformats.org/drawingml/2006/picture">
            <wp:extent cx="5486400" cy="5388759"/>
            <wp:docPr id="2" name="Picture 2"/>
            <wp:cNvGraphicFramePr>
              <a:graphicFrameLocks noChangeAspect="1"/>
            </wp:cNvGraphicFramePr>
            <a:graphic>
              <a:graphicData uri="http://schemas.openxmlformats.org/drawingml/2006/picture">
                <pic:pic>
                  <pic:nvPicPr>
                    <pic:cNvPr id="0" name="A 13934-2025 karta knärot.png"/>
                    <pic:cNvPicPr/>
                  </pic:nvPicPr>
                  <pic:blipFill>
                    <a:blip r:embed="rId17"/>
                    <a:stretch>
                      <a:fillRect/>
                    </a:stretch>
                  </pic:blipFill>
                  <pic:spPr>
                    <a:xfrm>
                      <a:off x="0" y="0"/>
                      <a:ext cx="5486400" cy="538875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6898935, E 633079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