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27027-2022 i Sundsvalls kommun</w:t>
      </w:r>
    </w:p>
    <w:p>
      <w:r>
        <w:t>Detta dokument behandlar höga naturvärden i avverkningsanmälan A 27027-2022 i Sundsvalls kommun. Denna avverkningsanmälan inkom 2022-06-28 22:37:46 och omfattar 15,1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blackticka (VU), knärot (VU, §8), rynkskinn (VU), doftskinn (NT), garnlav (NT), granticka (NT), lunglav (NT), rosenticka (NT), spillkråka (NT, §4), tretåig hackspett (NT, §4), ullticka (NT), korallblylav (S), stor aspticka (S), stuplav (S), vedticka (S)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4470"/>
            <wp:docPr id="1" name="Picture 1"/>
            <wp:cNvGraphicFramePr>
              <a:graphicFrameLocks noChangeAspect="1"/>
            </wp:cNvGraphicFramePr>
            <a:graphic>
              <a:graphicData uri="http://schemas.openxmlformats.org/drawingml/2006/picture">
                <pic:pic>
                  <pic:nvPicPr>
                    <pic:cNvPr id="0" name="A 27027-2022 karta.png"/>
                    <pic:cNvPicPr/>
                  </pic:nvPicPr>
                  <pic:blipFill>
                    <a:blip r:embed="rId16"/>
                    <a:stretch>
                      <a:fillRect/>
                    </a:stretch>
                  </pic:blipFill>
                  <pic:spPr>
                    <a:xfrm>
                      <a:off x="0" y="0"/>
                      <a:ext cx="5486400" cy="3824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6923958, E 599824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(SLU Artdatabanken, 2024).</w:t>
      </w:r>
    </w:p>
    <w:p>
      <w:r>
        <w:t>I det avverkningsanmälda området finns 13 fyndplatser för knärot registrerade på Artportalen. Figur 2 visar gränserna för buffertzoner på 50 m, som behöver lämnas kring fyndplatserna för att knärotslokalerna inte ska försvinna vid en avverkning. Av det avverkningsanmälda området överlappar 4.24 ha med buffertzonerna och får av detta skäl inte avverkas.</w:t>
      </w:r>
    </w:p>
    <w:p>
      <w:pPr>
        <w:pStyle w:val="Caption"/>
      </w:pPr>
      <w:r>
        <w:drawing>
          <wp:inline xmlns:a="http://schemas.openxmlformats.org/drawingml/2006/main" xmlns:pic="http://schemas.openxmlformats.org/drawingml/2006/picture">
            <wp:extent cx="5486400" cy="4519291"/>
            <wp:docPr id="2" name="Picture 2"/>
            <wp:cNvGraphicFramePr>
              <a:graphicFrameLocks noChangeAspect="1"/>
            </wp:cNvGraphicFramePr>
            <a:graphic>
              <a:graphicData uri="http://schemas.openxmlformats.org/drawingml/2006/picture">
                <pic:pic>
                  <pic:nvPicPr>
                    <pic:cNvPr id="0" name="A 27027-2022 karta knärot.png"/>
                    <pic:cNvPicPr/>
                  </pic:nvPicPr>
                  <pic:blipFill>
                    <a:blip r:embed="rId17"/>
                    <a:stretch>
                      <a:fillRect/>
                    </a:stretch>
                  </pic:blipFill>
                  <pic:spPr>
                    <a:xfrm>
                      <a:off x="0" y="0"/>
                      <a:ext cx="5486400" cy="45192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6923958, E 599824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