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49702-2023 i Sundsvalls kommun</w:t>
      </w:r>
    </w:p>
    <w:p>
      <w:r>
        <w:t>Detta dokument behandlar höga naturvärden i avverkningsanmälan A 49702-2023 i Sundsvalls kommun. Denna avverkningsanmälan inkom 2023-10-09 00:00:00 och omfattar 18,4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knärot (VU, §8), koppartaggsvamp (VU), rynkskinn (VU), dofttaggsvamp (NT), granticka (NT), gultoppig fingersvamp (NT), Leptoporus mollis (NT), motaggsvamp (NT), orange taggsvamp (NT), rosenticka (NT), svart taggsvamp (NT), tretåig hackspett (NT, §4), ullticka (NT), grönpyrola (S), skarp dropptaggsvamp (S), vedticka (S) och nattviol (§8).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72592"/>
            <wp:docPr id="1" name="Picture 1"/>
            <wp:cNvGraphicFramePr>
              <a:graphicFrameLocks noChangeAspect="1"/>
            </wp:cNvGraphicFramePr>
            <a:graphic>
              <a:graphicData uri="http://schemas.openxmlformats.org/drawingml/2006/picture">
                <pic:pic>
                  <pic:nvPicPr>
                    <pic:cNvPr id="0" name="A 49702-2023 karta.png"/>
                    <pic:cNvPicPr/>
                  </pic:nvPicPr>
                  <pic:blipFill>
                    <a:blip r:embed="rId16"/>
                    <a:stretch>
                      <a:fillRect/>
                    </a:stretch>
                  </pic:blipFill>
                  <pic:spPr>
                    <a:xfrm>
                      <a:off x="0" y="0"/>
                      <a:ext cx="5486400" cy="65725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6907288, E 620555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 xml:space="preserve">Koppartaggsvamp (VU) </w:t>
      </w:r>
      <w:r>
        <w:t>bildar mykorrhiza med gran i örtrik äldre granskog på kalkrik mark. Arten är en mycket bra indikator på skyddsvärda kalkgranskogar och påfallande ofta växer den tillsammans med raggtaggsvamp (EN). Arten ingår i ett åtgärdsprogram för hotade arter (ÅGP) och dess långsiktiga överlevnad säkras genom att växtplatserna undantas från avverkning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tretåig hackspett (NT, §4)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5.47 ha med buffertzonerna och får av detta skäl inte avverkas.</w:t>
      </w:r>
    </w:p>
    <w:p>
      <w:pPr>
        <w:pStyle w:val="Caption"/>
      </w:pPr>
      <w:r>
        <w:drawing>
          <wp:inline xmlns:a="http://schemas.openxmlformats.org/drawingml/2006/main" xmlns:pic="http://schemas.openxmlformats.org/drawingml/2006/picture">
            <wp:extent cx="5486400" cy="9137339"/>
            <wp:docPr id="2" name="Picture 2"/>
            <wp:cNvGraphicFramePr>
              <a:graphicFrameLocks noChangeAspect="1"/>
            </wp:cNvGraphicFramePr>
            <a:graphic>
              <a:graphicData uri="http://schemas.openxmlformats.org/drawingml/2006/picture">
                <pic:pic>
                  <pic:nvPicPr>
                    <pic:cNvPr id="0" name="A 49702-2023 karta knärot.png"/>
                    <pic:cNvPicPr/>
                  </pic:nvPicPr>
                  <pic:blipFill>
                    <a:blip r:embed="rId17"/>
                    <a:stretch>
                      <a:fillRect/>
                    </a:stretch>
                  </pic:blipFill>
                  <pic:spPr>
                    <a:xfrm>
                      <a:off x="0" y="0"/>
                      <a:ext cx="5486400" cy="91373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6907288, E 620555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