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20708-2025 i Sundsvalls kommun</w:t>
      </w:r>
    </w:p>
    <w:p>
      <w:r>
        <w:t>Detta dokument behandlar höga naturvärden i avverkningsanmälan A 20708-2025 i Sundsvalls kommun. Denna avverkningsanmälan inkom 2025-04-29 00:00:00 och omfattar 3,9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15 naturvårdsarter hittats: knärot (VU, §8), rynkskinn (VU), lunglav (NT), rosenticka (NT), tretåig hackspett (NT, §4), vedtrappmossa (NT), korallblylav (S), skinnlav (S), strutbräken (S), stuplav (S), svart trolldruva (S), trådticka (S), vedticka (S), vårärt (S) och nattviol (§8).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33078"/>
            <wp:docPr id="1" name="Picture 1"/>
            <wp:cNvGraphicFramePr>
              <a:graphicFrameLocks noChangeAspect="1"/>
            </wp:cNvGraphicFramePr>
            <a:graphic>
              <a:graphicData uri="http://schemas.openxmlformats.org/drawingml/2006/picture">
                <pic:pic>
                  <pic:nvPicPr>
                    <pic:cNvPr id="0" name="A 20708-2025 karta.png"/>
                    <pic:cNvPicPr/>
                  </pic:nvPicPr>
                  <pic:blipFill>
                    <a:blip r:embed="rId16"/>
                    <a:stretch>
                      <a:fillRect/>
                    </a:stretch>
                  </pic:blipFill>
                  <pic:spPr>
                    <a:xfrm>
                      <a:off x="0" y="0"/>
                      <a:ext cx="5486400" cy="43330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6963893, E 583918 i SWEREF 99 TM.</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 xml:space="preserve">Strutbräken </w:t>
      </w:r>
      <w:r>
        <w:t xml:space="preserve">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dikning.Strutbräken är typisk art för </w:t>
      </w:r>
      <w:r>
        <w:rPr>
          <w:i/>
        </w:rPr>
        <w:t xml:space="preserve">9050 Näringsrik granskog, 9080 Lövsumpskog, 9750 Svämlövskog, 9760 Svämädellövskog </w:t>
      </w:r>
      <w:r>
        <w:t>och</w:t>
      </w:r>
      <w:r>
        <w:rPr>
          <w:i/>
        </w:rPr>
        <w:t xml:space="preserve"> 6430 Högörtängar</w:t>
      </w:r>
      <w:r>
        <w:t xml:space="preserve"> (Nitare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pPr>
        <w:pStyle w:val="Heading1"/>
      </w:pPr>
      <w:r>
        <w:t>Fridlysta arter</w:t>
      </w:r>
    </w:p>
    <w:p>
      <w:r>
        <w:t>Följande fridlysta arter har sina livsmiljöer och växtplatser i den avverkningsanmälda skogen: knärot (VU, §8), tretåig hackspett (NT, §4) och nattviol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0.58 ha med buffertzonerna och får av detta skäl inte avverkas.</w:t>
      </w:r>
    </w:p>
    <w:p>
      <w:pPr>
        <w:pStyle w:val="Caption"/>
      </w:pPr>
      <w:r>
        <w:drawing>
          <wp:inline xmlns:a="http://schemas.openxmlformats.org/drawingml/2006/main" xmlns:pic="http://schemas.openxmlformats.org/drawingml/2006/picture">
            <wp:extent cx="5486400" cy="5247077"/>
            <wp:docPr id="2" name="Picture 2"/>
            <wp:cNvGraphicFramePr>
              <a:graphicFrameLocks noChangeAspect="1"/>
            </wp:cNvGraphicFramePr>
            <a:graphic>
              <a:graphicData uri="http://schemas.openxmlformats.org/drawingml/2006/picture">
                <pic:pic>
                  <pic:nvPicPr>
                    <pic:cNvPr id="0" name="A 20708-2025 karta knärot.png"/>
                    <pic:cNvPicPr/>
                  </pic:nvPicPr>
                  <pic:blipFill>
                    <a:blip r:embed="rId17"/>
                    <a:stretch>
                      <a:fillRect/>
                    </a:stretch>
                  </pic:blipFill>
                  <pic:spPr>
                    <a:xfrm>
                      <a:off x="0" y="0"/>
                      <a:ext cx="5486400" cy="524707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6963893, E 583918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