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34866-2024 i Sundsvalls kommun</w:t>
      </w:r>
    </w:p>
    <w:p>
      <w:r>
        <w:t>Detta klagomål behandlar höga naturvärden i avverkningsanmälan A 34866-2024 i Sundsvalls kommun som inkom 2024-08-23 och omfattar 7,6 ha.</w:t>
      </w:r>
    </w:p>
    <w:p>
      <w:pPr>
        <w:pStyle w:val="Caption"/>
      </w:pPr>
      <w:r>
        <w:drawing>
          <wp:inline xmlns:a="http://schemas.openxmlformats.org/drawingml/2006/main" xmlns:pic="http://schemas.openxmlformats.org/drawingml/2006/picture">
            <wp:extent cx="4568524" cy="5724000"/>
            <wp:docPr id="1" name="Picture 1"/>
            <wp:cNvGraphicFramePr>
              <a:graphicFrameLocks noChangeAspect="1"/>
            </wp:cNvGraphicFramePr>
            <a:graphic>
              <a:graphicData uri="http://schemas.openxmlformats.org/drawingml/2006/picture">
                <pic:pic>
                  <pic:nvPicPr>
                    <pic:cNvPr id="0" name="A 34866-2024 karta.png"/>
                    <pic:cNvPicPr/>
                  </pic:nvPicPr>
                  <pic:blipFill>
                    <a:blip r:embed="rId16"/>
                    <a:stretch>
                      <a:fillRect/>
                    </a:stretch>
                  </pic:blipFill>
                  <pic:spPr>
                    <a:xfrm>
                      <a:off x="0" y="0"/>
                      <a:ext cx="4568524"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6928063, E 589084 i SWEREF 99 TM.</w:t>
      </w:r>
    </w:p>
    <w:p>
      <w:r>
        <w:t>I och inom 10 meter från avverkningsanmälan finns fynd av 38 naturvårdsarter, varav 23 är rödlistade, 7 är fridlysta, 28 är typiska (T) och 12 är signalarter (S): blackticka (VU), garnlav (VU, T), gränsticka (VU, T), knärot (VU, T, §8), liten hornflikmossa (VU), sprickporing (VU), brunpudrad nållav (NT, T), doftskinn (NT, T), dropptaggsvamp (NT, T), duvhök (NT, §4), gammelgransskål (NT, T), kolflarnlav (NT, T), lunglav (NT, T), rosenticka (NT, T), rynkskinn (NT, T), stjärntagging (NT, T), svart taggsvamp (NT), talltita (NT, §4), tretåig hackspett (NT, T, §4), ullticka (NT, T), vedtrappmossa (NT, T), violettgrå tagellav (NT, T), vitgrynig nållav (NT), barkkornlav (S, T), bollvitmossa (S, T), bårdlav (S, T), grönpyrola (S, T), gulnål (S, T), luddlav (S, T), norrlandslav (S, T), nästlav (S, T), rödgul trumpetsvamp (S), skinnlav (S, T), stuplav (S, T), vedticka (S, T), järpe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659853"/>
            <wp:docPr id="2" name="Picture 2"/>
            <wp:cNvGraphicFramePr>
              <a:graphicFrameLocks noChangeAspect="1"/>
            </wp:cNvGraphicFramePr>
            <a:graphic>
              <a:graphicData uri="http://schemas.openxmlformats.org/drawingml/2006/picture">
                <pic:pic>
                  <pic:nvPicPr>
                    <pic:cNvPr id="0" name="A 34866-2024 karta knärot.png"/>
                    <pic:cNvPicPr/>
                  </pic:nvPicPr>
                  <pic:blipFill>
                    <a:blip r:embed="rId17"/>
                    <a:stretch>
                      <a:fillRect/>
                    </a:stretch>
                  </pic:blipFill>
                  <pic:spPr>
                    <a:xfrm>
                      <a:off x="0" y="0"/>
                      <a:ext cx="5486400" cy="56598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6928063, E 589084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38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