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33746-2024 i Sundsvalls kommun</w:t>
      </w:r>
    </w:p>
    <w:p>
      <w:r>
        <w:t>Denna tillsynsbegäran behandlar höga naturvärden i avverkningsanmälan A 33746-2024 i Sundsvalls kommun som inkom 2024-08-16 och omfattar 11,6 ha.</w:t>
      </w:r>
    </w:p>
    <w:p>
      <w:pPr>
        <w:pStyle w:val="Caption"/>
      </w:pPr>
      <w:r>
        <w:drawing>
          <wp:inline xmlns:a="http://schemas.openxmlformats.org/drawingml/2006/main" xmlns:pic="http://schemas.openxmlformats.org/drawingml/2006/picture">
            <wp:extent cx="5486400" cy="5497736"/>
            <wp:docPr id="1" name="Picture 1"/>
            <wp:cNvGraphicFramePr>
              <a:graphicFrameLocks noChangeAspect="1"/>
            </wp:cNvGraphicFramePr>
            <a:graphic>
              <a:graphicData uri="http://schemas.openxmlformats.org/drawingml/2006/picture">
                <pic:pic>
                  <pic:nvPicPr>
                    <pic:cNvPr id="0" name="A 33746-2024 karta.png"/>
                    <pic:cNvPicPr/>
                  </pic:nvPicPr>
                  <pic:blipFill>
                    <a:blip r:embed="rId16"/>
                    <a:stretch>
                      <a:fillRect/>
                    </a:stretch>
                  </pic:blipFill>
                  <pic:spPr>
                    <a:xfrm>
                      <a:off x="0" y="0"/>
                      <a:ext cx="5486400" cy="549773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6897797, E 626683 i SWEREF 99 TM.</w:t>
      </w:r>
    </w:p>
    <w:p>
      <w:r>
        <w:t>I avverkningsanmälan finns fynd av 7 naturvårdsarter, varav 5 är rödlistade, 2 är fridlysta, 4 är typiska (T) och 2 är signalarter (S): knärot (VU, T, §8), rostskinn (VU), rosenticka (NT, T), talltita (NT, §4), ullticka (NT, T), brandticka (S) och vedticka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8 fyndplatser för knärot registrerade på Artportalen. Figur 2 visar gränserna för buffertzoner på 50 m, som behöver lämnas kring fyndplatserna för att knärotslokalerna inte ska försvinna vid en avverkning. Av det avverkningsanmälda området överlappar 3.65 ha med buffertzonerna och får av detta skäl inte avverkas.</w:t>
      </w:r>
    </w:p>
    <w:p>
      <w:pPr>
        <w:pStyle w:val="Caption"/>
      </w:pPr>
      <w:r>
        <w:drawing>
          <wp:inline xmlns:a="http://schemas.openxmlformats.org/drawingml/2006/main" xmlns:pic="http://schemas.openxmlformats.org/drawingml/2006/picture">
            <wp:extent cx="5486400" cy="6782253"/>
            <wp:docPr id="2" name="Picture 2"/>
            <wp:cNvGraphicFramePr>
              <a:graphicFrameLocks noChangeAspect="1"/>
            </wp:cNvGraphicFramePr>
            <a:graphic>
              <a:graphicData uri="http://schemas.openxmlformats.org/drawingml/2006/picture">
                <pic:pic>
                  <pic:nvPicPr>
                    <pic:cNvPr id="0" name="A 33746-2024 karta knärot.png"/>
                    <pic:cNvPicPr/>
                  </pic:nvPicPr>
                  <pic:blipFill>
                    <a:blip r:embed="rId17"/>
                    <a:stretch>
                      <a:fillRect/>
                    </a:stretch>
                  </pic:blipFill>
                  <pic:spPr>
                    <a:xfrm>
                      <a:off x="0" y="0"/>
                      <a:ext cx="5486400" cy="6782253"/>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6897797, E 626683 i SWEREF 99 TM.</w:t>
      </w:r>
    </w:p>
    <w:p>
      <w:r>
        <w:rPr>
          <w:b/>
        </w:rPr>
        <w:t xml:space="preserve">Rostskinn (VU) </w:t>
      </w:r>
      <w:r>
        <w:t>är en mycket sällsynt vednedbrytare i liggande, murkna stammar av gran och tall i frisk till fuktig barrskog. Artens missgynnas av avverkning och minskad tillgång på döda träd. Arten bör eftersökas i lämpliga naturskogar i Norrland så att dess status bättre kan beläggas. I väntan på detta bör alla kända växtplatser hållas under uppsikt och skydd övervägas vid påkallat behov (SLU Artdatabanken, 2024).</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Brandticka </w:t>
      </w:r>
      <w:r>
        <w:t>förekommer främst i olikåldrig fuktig granskog med mycket död ved, ofta i kärrkanter eller vid bäckar på lokaler med hög luftfuktighet. Växer huvudsakligen på grova granlågor, någon enstaka gång på tall, asp eller björk, och verkar knuten till ved som först rötats av klibbticka. Arten var tidigare rödlistad men en sentida ökning, bland annat i barkborreangripna granplanteringar i sydligaste Skandinavien har förändrat hotbilden. Populationen i landet kan påverkas negativt av kalavverkning och ett skogsbruk som innebär att mängden grova granlågor minskar. Även dikning och gallring som leder till ett torrare mikroklimat på växtplatserna kan ha negativ inverkan. För att säkerställa en gynnsam bevarandestatus på sikt bör områdesskydd av artens livsmiljöer upprättas på ett sätt som tryggar livskraftiga populationer på landskapsnivå. Vid skogsbruk bör grov död ved och skyddszoner vid kärr och vattendrag lämnas, och träd tillåtas åldras och dö på ett sätt som skapar kontinuerlig tillgång på livsmiljöer (SLU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