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25 meter från avverkningsanmälan finns fynd av 3 naturvårdsarter, varav 2 är rödlistade, 3 är fridlysta och 1 är typisk (T): sötgräs (NT, §7),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